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/>
          <w:color w:val="000000"/>
          <w:sz w:val="40"/>
          <w:szCs w:val="40"/>
        </w:rPr>
      </w:pPr>
      <w:r>
        <w:rPr>
          <w:rFonts w:eastAsia="Times New Roman" w:cs="Arial" w:ascii="Liberation Sans" w:hAnsi="Liberation Sans"/>
          <w:color w:val="000000"/>
          <w:position w:val="0"/>
          <w:sz w:val="40"/>
          <w:sz w:val="40"/>
          <w:szCs w:val="40"/>
          <w:vertAlign w:val="baseline"/>
          <w:lang w:eastAsia="fr-FR"/>
        </w:rPr>
        <w:t xml:space="preserve">L’oral: </w:t>
      </w:r>
      <w:r>
        <w:rPr>
          <w:rFonts w:eastAsia="Times New Roman" w:cs="Arial" w:ascii="Liberation Sans" w:hAnsi="Liberation Sans"/>
          <w:color w:val="000000"/>
          <w:position w:val="0"/>
          <w:sz w:val="40"/>
          <w:sz w:val="40"/>
          <w:szCs w:val="40"/>
          <w:vertAlign w:val="baseline"/>
          <w:lang w:eastAsia="fr-FR"/>
        </w:rPr>
        <w:t>c</w:t>
      </w:r>
      <w:r>
        <w:rPr>
          <w:rFonts w:cs="Verdana" w:ascii="Liberation Sans" w:hAnsi="Liberation Sans"/>
          <w:color w:val="000000"/>
          <w:sz w:val="40"/>
          <w:szCs w:val="40"/>
        </w:rPr>
        <w:t>ommencer à réfléchir sur la langue et acquérir une conscience phonologique</w:t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2" w:type="dxa"/>
          <w:bottom w:w="0" w:type="dxa"/>
          <w:right w:w="0" w:type="dxa"/>
        </w:tblCellMar>
      </w:tblPr>
      <w:tblGrid>
        <w:gridCol w:w="3233"/>
        <w:gridCol w:w="12165"/>
      </w:tblGrid>
      <w:tr>
        <w:trPr>
          <w:trHeight w:val="435" w:hRule="atLeast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6CCE3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Objectif(s) visé(s) :</w:t>
            </w:r>
          </w:p>
        </w:tc>
        <w:tc>
          <w:tcPr>
            <w:tcW w:w="1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6CCE3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280" w:after="280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6" w:hRule="atLeast"/>
        </w:trPr>
        <w:tc>
          <w:tcPr>
            <w:tcW w:w="323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 w:ascii="Liberation Sans" w:hAnsi="Liberation Sans"/>
                <w:color w:val="000000"/>
                <w:position w:val="0"/>
                <w:sz w:val="22"/>
                <w:sz w:val="22"/>
                <w:szCs w:val="22"/>
                <w:vertAlign w:val="baseline"/>
                <w:lang w:eastAsia="fr-FR"/>
              </w:rPr>
              <w:t>C</w:t>
            </w:r>
            <w:r>
              <w:rPr>
                <w:rFonts w:cs="Verdana" w:ascii="Liberation Sans" w:hAnsi="Liberation Sans"/>
                <w:color w:val="000000"/>
                <w:sz w:val="22"/>
                <w:szCs w:val="22"/>
              </w:rPr>
              <w:t>ommencer à réfléchir sur la langue et acquérir une conscience phonologique</w:t>
            </w:r>
          </w:p>
        </w:tc>
        <w:tc>
          <w:tcPr>
            <w:tcW w:w="1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cs="ArialMT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Repérer les régularités dans la langue à l’oral en français. Manipuler des syllabes.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cs="ArialMT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Discriminer des sons (syllabes, sons voyelles ; quelques sons –consonnes hors des consonnes occlusives).</w:t>
            </w:r>
          </w:p>
        </w:tc>
      </w:tr>
      <w:tr>
        <w:trPr>
          <w:trHeight w:val="1113" w:hRule="atLeast"/>
        </w:trPr>
        <w:tc>
          <w:tcPr>
            <w:tcW w:w="323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280" w:after="280"/>
              <w:ind w:left="113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1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cs="ArialMT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Avec les supports suivants :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cs="ArialMT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 xml:space="preserve">• </w:t>
            </w:r>
            <w:r>
              <w:rPr>
                <w:rFonts w:cs="ArialMT" w:ascii="Liberation Sans" w:hAnsi="Liberation Sans"/>
                <w:sz w:val="22"/>
                <w:szCs w:val="22"/>
              </w:rPr>
              <w:t>comptines, jeux de doigts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cs="ArialMT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 xml:space="preserve">• </w:t>
            </w:r>
            <w:r>
              <w:rPr>
                <w:rFonts w:cs="ArialMT" w:ascii="Liberation Sans" w:hAnsi="Liberation Sans"/>
                <w:sz w:val="22"/>
                <w:szCs w:val="22"/>
              </w:rPr>
              <w:t>vire-langue, jeux de langage : mots tordus etc.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 xml:space="preserve">• </w:t>
            </w:r>
            <w:r>
              <w:rPr>
                <w:rFonts w:cs="ArialMT" w:ascii="Liberation Sans" w:hAnsi="Liberation Sans"/>
                <w:sz w:val="22"/>
                <w:szCs w:val="22"/>
              </w:rPr>
              <w:t>listes de mots, boites à mo</w:t>
            </w:r>
            <w:r>
              <w:rPr>
                <w:rFonts w:cs="ArialMT" w:ascii="Liberation Sans" w:hAnsi="Liberation Sans"/>
                <w:sz w:val="22"/>
                <w:szCs w:val="22"/>
              </w:rPr>
              <w:t>ts, images...</w:t>
            </w:r>
          </w:p>
        </w:tc>
      </w:tr>
      <w:tr>
        <w:trPr>
          <w:trHeight w:val="6" w:hRule="atLeast"/>
        </w:trPr>
        <w:tc>
          <w:tcPr>
            <w:tcW w:w="323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280" w:after="280"/>
              <w:ind w:left="113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cs="ArialMT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Réfléchir sur les unités sonores de la langue en se détachant du sens des mots.</w:t>
            </w:r>
          </w:p>
        </w:tc>
      </w:tr>
    </w:tbl>
    <w:p>
      <w:pPr>
        <w:pStyle w:val="NoSpacing"/>
        <w:rPr>
          <w:lang w:eastAsia="fr-FR"/>
        </w:rPr>
      </w:pPr>
      <w:r>
        <w:rPr>
          <w:lang w:eastAsia="fr-FR"/>
        </w:rPr>
      </w:r>
    </w:p>
    <w:tbl>
      <w:tblPr>
        <w:tblW w:w="15398" w:type="dxa"/>
        <w:jc w:val="left"/>
        <w:tblInd w:w="2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2" w:type="dxa"/>
          <w:bottom w:w="0" w:type="dxa"/>
          <w:right w:w="0" w:type="dxa"/>
        </w:tblCellMar>
      </w:tblPr>
      <w:tblGrid>
        <w:gridCol w:w="9048"/>
        <w:gridCol w:w="794"/>
        <w:gridCol w:w="795"/>
        <w:gridCol w:w="795"/>
        <w:gridCol w:w="794"/>
        <w:gridCol w:w="795"/>
        <w:gridCol w:w="794"/>
        <w:gridCol w:w="795"/>
        <w:gridCol w:w="788"/>
      </w:tblGrid>
      <w:tr>
        <w:trPr>
          <w:trHeight w:val="6" w:hRule="atLeast"/>
        </w:trPr>
        <w:tc>
          <w:tcPr>
            <w:tcW w:w="9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6CCE3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280" w:after="280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6CCE3" w:val="clear"/>
            <w:tcMar>
              <w:left w:w="12" w:type="dxa"/>
            </w:tcMar>
          </w:tcPr>
          <w:p>
            <w:pPr>
              <w:pStyle w:val="Normal"/>
              <w:spacing w:lineRule="auto" w:line="240" w:before="280" w:after="28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6CCE3" w:val="clear"/>
            <w:tcMar>
              <w:left w:w="12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6CCE3" w:val="clear"/>
            <w:tcMar>
              <w:left w:w="12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6CCE3" w:val="clear"/>
            <w:tcMar>
              <w:left w:w="12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6CCE3" w:val="clear"/>
            <w:tcMar>
              <w:left w:w="12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6CCE3" w:val="clear"/>
            <w:tcMar>
              <w:left w:w="12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D6CCE3" w:val="clear"/>
            <w:tcMar>
              <w:left w:w="12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6CCE3" w:val="clear"/>
            <w:tcMar>
              <w:left w:w="12" w:type="dxa"/>
            </w:tcMar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0" w:hRule="atLeast"/>
        </w:trPr>
        <w:tc>
          <w:tcPr>
            <w:tcW w:w="9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D</w:t>
            </w:r>
            <w:r>
              <w:rPr>
                <w:rFonts w:cs="ArialMT" w:ascii="Liberation Sans" w:hAnsi="Liberation Sans"/>
                <w:sz w:val="22"/>
                <w:szCs w:val="22"/>
              </w:rPr>
              <w:t xml:space="preserve">ire comptines ou jeux de doigts en synchronisant débit et gestuelle 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0" w:hRule="atLeast"/>
        </w:trPr>
        <w:tc>
          <w:tcPr>
            <w:tcW w:w="9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D</w:t>
            </w:r>
            <w:r>
              <w:rPr>
                <w:rFonts w:cs="ArialMT" w:ascii="Liberation Sans" w:hAnsi="Liberation Sans"/>
                <w:sz w:val="22"/>
                <w:szCs w:val="22"/>
              </w:rPr>
              <w:t>ire comptines, virelangues en respectant assonances, allitérations, articulation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0" w:hRule="atLeast"/>
        </w:trPr>
        <w:tc>
          <w:tcPr>
            <w:tcW w:w="9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T</w:t>
            </w:r>
            <w:r>
              <w:rPr>
                <w:rFonts w:cs="ArialMT" w:ascii="Liberation Sans" w:hAnsi="Liberation Sans"/>
                <w:sz w:val="22"/>
                <w:szCs w:val="22"/>
              </w:rPr>
              <w:t>rouver les mots pour produire de nouvelles rimes et assonances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0" w:hRule="atLeast"/>
        </w:trPr>
        <w:tc>
          <w:tcPr>
            <w:tcW w:w="9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S</w:t>
            </w:r>
            <w:r>
              <w:rPr>
                <w:rFonts w:cs="ArialMT" w:ascii="Liberation Sans" w:hAnsi="Liberation Sans"/>
                <w:sz w:val="22"/>
                <w:szCs w:val="22"/>
              </w:rPr>
              <w:t>cander et dénombrer les syllabes phoniques d’un mot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0" w:hRule="atLeast"/>
        </w:trPr>
        <w:tc>
          <w:tcPr>
            <w:tcW w:w="9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R</w:t>
            </w:r>
            <w:r>
              <w:rPr>
                <w:rFonts w:cs="ArialMT" w:ascii="Liberation Sans" w:hAnsi="Liberation Sans"/>
                <w:sz w:val="22"/>
                <w:szCs w:val="22"/>
              </w:rPr>
              <w:t>econnaître et discriminer une syllabe dans une liste de mots, dans un texte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0" w:hRule="atLeast"/>
        </w:trPr>
        <w:tc>
          <w:tcPr>
            <w:tcW w:w="9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Manipuler les syllabes</w:t>
            </w:r>
            <w:r>
              <w:rPr>
                <w:rFonts w:cs="ArialMT" w:ascii="Liberation Sans" w:hAnsi="Liberation Sans"/>
                <w:sz w:val="22"/>
                <w:szCs w:val="22"/>
              </w:rPr>
              <w:t xml:space="preserve"> : enlever, ajouter, inverser, localiser, substituer, produire des pseudo-mots par combinaison de syllabes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0" w:hRule="atLeast"/>
        </w:trPr>
        <w:tc>
          <w:tcPr>
            <w:tcW w:w="9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Localiser et coder la place d'une syllabe dans un mot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0" w:hRule="atLeast"/>
        </w:trPr>
        <w:tc>
          <w:tcPr>
            <w:tcW w:w="9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I</w:t>
            </w:r>
            <w:r>
              <w:rPr>
                <w:rFonts w:cs="ArialMT" w:ascii="Liberation Sans" w:hAnsi="Liberation Sans"/>
                <w:sz w:val="22"/>
                <w:szCs w:val="22"/>
              </w:rPr>
              <w:t>soler et discriminer un phonème dont l’articulation peut être maintenue (voyelle, /s/, /f/, /z/ etc.)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10" w:hRule="atLeast"/>
        </w:trPr>
        <w:tc>
          <w:tcPr>
            <w:tcW w:w="90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cs="ArialMT" w:ascii="Liberation Sans" w:hAnsi="Liberation Sans"/>
                <w:sz w:val="22"/>
                <w:szCs w:val="22"/>
              </w:rPr>
              <w:t>D</w:t>
            </w:r>
            <w:r>
              <w:rPr>
                <w:rFonts w:cs="ArialMT" w:ascii="Liberation Sans" w:hAnsi="Liberation Sans"/>
                <w:sz w:val="22"/>
                <w:szCs w:val="22"/>
              </w:rPr>
              <w:t>istinguer des sons proches (f/v, s/ch, s/z, ch/f etc…) etc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LibreOffice/5.0.3.2$Windows_x86 LibreOffice_project/e5f16313668ac592c1bfb310f4390624e3dbfb75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2017-01-07T15:40:00Z</dcterms:created>
  <dc:creator>Utilisateur</dc:creator>
  <dc:language>fr-FR</dc:language>
  <dcterms:modified xsi:type="dcterms:W3CDTF">2017-01-10T10:34:16Z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