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78" w:rsidRDefault="00BF0C78" w:rsidP="00BF0C78">
      <w:pPr>
        <w:pStyle w:val="Default"/>
        <w:jc w:val="both"/>
        <w:rPr>
          <w:rFonts w:ascii="Arial" w:hAnsi="Arial" w:cs="Arial"/>
          <w:b/>
          <w:bCs/>
        </w:rPr>
      </w:pPr>
      <w:r w:rsidRPr="00F72BD2">
        <w:rPr>
          <w:rFonts w:ascii="Arial" w:hAnsi="Arial" w:cs="Arial"/>
          <w:b/>
          <w:bCs/>
        </w:rPr>
        <w:t xml:space="preserve">Comment différencier une séquence d’enseignement ? </w:t>
      </w:r>
    </w:p>
    <w:p w:rsidR="00BF0C78" w:rsidRPr="00F72BD2" w:rsidRDefault="00BF0C78" w:rsidP="00BF0C78">
      <w:pPr>
        <w:pStyle w:val="Default"/>
        <w:jc w:val="both"/>
        <w:rPr>
          <w:rFonts w:ascii="Arial" w:hAnsi="Arial" w:cs="Arial"/>
        </w:rPr>
      </w:pPr>
    </w:p>
    <w:p w:rsidR="00BF0C78" w:rsidRDefault="00BF0C78" w:rsidP="00BF0C78">
      <w:pPr>
        <w:pStyle w:val="Default"/>
        <w:jc w:val="both"/>
        <w:rPr>
          <w:rFonts w:ascii="Arial" w:hAnsi="Arial" w:cs="Arial"/>
        </w:rPr>
      </w:pPr>
      <w:r w:rsidRPr="00F72BD2">
        <w:rPr>
          <w:rFonts w:ascii="Arial" w:hAnsi="Arial" w:cs="Arial"/>
        </w:rPr>
        <w:t xml:space="preserve">Les modalités de différenciation peuvent se succéder selon l’organisation du temps d’enseignement découpé en trois phases : avant, pendant et après l’enseignement (note Forget, </w:t>
      </w:r>
      <w:proofErr w:type="spellStart"/>
      <w:r w:rsidRPr="00F72BD2">
        <w:rPr>
          <w:rFonts w:ascii="Arial" w:hAnsi="Arial" w:cs="Arial"/>
        </w:rPr>
        <w:t>Cnesco</w:t>
      </w:r>
      <w:proofErr w:type="spellEnd"/>
      <w:r w:rsidRPr="00F72BD2">
        <w:rPr>
          <w:rFonts w:ascii="Arial" w:hAnsi="Arial" w:cs="Arial"/>
        </w:rPr>
        <w:t xml:space="preserve">, 2017). </w:t>
      </w:r>
    </w:p>
    <w:p w:rsidR="00BF0C78" w:rsidRPr="00F72BD2" w:rsidRDefault="00BF0C78" w:rsidP="00BF0C78">
      <w:pPr>
        <w:pStyle w:val="Default"/>
        <w:jc w:val="both"/>
        <w:rPr>
          <w:rFonts w:ascii="Arial" w:hAnsi="Arial" w:cs="Arial"/>
        </w:rPr>
      </w:pPr>
    </w:p>
    <w:p w:rsidR="00BF0C78" w:rsidRDefault="00BF0C78" w:rsidP="00BF0C78">
      <w:pPr>
        <w:pStyle w:val="Default"/>
        <w:numPr>
          <w:ilvl w:val="0"/>
          <w:numId w:val="1"/>
        </w:numPr>
        <w:jc w:val="both"/>
        <w:rPr>
          <w:rFonts w:ascii="Arial" w:hAnsi="Arial" w:cs="Arial"/>
          <w:b/>
          <w:bCs/>
        </w:rPr>
      </w:pPr>
      <w:r w:rsidRPr="00F72BD2">
        <w:rPr>
          <w:rFonts w:ascii="Arial" w:hAnsi="Arial" w:cs="Arial"/>
          <w:b/>
          <w:bCs/>
        </w:rPr>
        <w:t xml:space="preserve">Différencier AVANT l’enseignement </w:t>
      </w:r>
    </w:p>
    <w:p w:rsidR="00BF0C78" w:rsidRDefault="00BF0C78" w:rsidP="00BF0C78">
      <w:pPr>
        <w:pStyle w:val="Default"/>
        <w:jc w:val="both"/>
        <w:rPr>
          <w:rFonts w:ascii="Arial" w:hAnsi="Arial" w:cs="Arial"/>
          <w:b/>
          <w:bCs/>
        </w:rPr>
      </w:pPr>
    </w:p>
    <w:p w:rsidR="00BF0C78" w:rsidRPr="00F72BD2" w:rsidRDefault="00BF0C78" w:rsidP="00BF0C78">
      <w:pPr>
        <w:pStyle w:val="Default"/>
        <w:jc w:val="both"/>
        <w:rPr>
          <w:rFonts w:ascii="Arial" w:hAnsi="Arial" w:cs="Arial"/>
        </w:rPr>
      </w:pPr>
      <w:r w:rsidRPr="00F72BD2">
        <w:rPr>
          <w:rFonts w:ascii="Arial" w:hAnsi="Arial" w:cs="Arial"/>
          <w:noProof/>
        </w:rPr>
        <w:drawing>
          <wp:inline distT="0" distB="0" distL="0" distR="0">
            <wp:extent cx="5753100" cy="1123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123950"/>
                    </a:xfrm>
                    <a:prstGeom prst="rect">
                      <a:avLst/>
                    </a:prstGeom>
                    <a:noFill/>
                    <a:ln>
                      <a:noFill/>
                    </a:ln>
                  </pic:spPr>
                </pic:pic>
              </a:graphicData>
            </a:graphic>
          </wp:inline>
        </w:drawing>
      </w:r>
    </w:p>
    <w:p w:rsidR="00BF0C78" w:rsidRPr="00F72BD2" w:rsidRDefault="00BF0C78" w:rsidP="00BF0C78">
      <w:pPr>
        <w:pStyle w:val="Default"/>
        <w:jc w:val="both"/>
        <w:rPr>
          <w:rFonts w:ascii="Arial" w:hAnsi="Arial" w:cs="Arial"/>
        </w:rPr>
      </w:pPr>
    </w:p>
    <w:p w:rsidR="00BF0C78" w:rsidRDefault="00BF0C78" w:rsidP="00BF0C78">
      <w:pPr>
        <w:pStyle w:val="Default"/>
        <w:spacing w:after="56"/>
        <w:jc w:val="both"/>
        <w:rPr>
          <w:rFonts w:ascii="Arial" w:hAnsi="Arial" w:cs="Arial"/>
        </w:rPr>
      </w:pPr>
      <w:r w:rsidRPr="00BF0C78">
        <w:rPr>
          <w:rFonts w:ascii="Arial" w:hAnsi="Arial" w:cs="Arial"/>
          <w:b/>
          <w:bCs/>
        </w:rPr>
        <w:t>1.</w:t>
      </w:r>
      <w:r>
        <w:rPr>
          <w:rFonts w:ascii="Arial" w:hAnsi="Arial" w:cs="Arial"/>
          <w:b/>
          <w:bCs/>
        </w:rPr>
        <w:t xml:space="preserve"> </w:t>
      </w:r>
      <w:r w:rsidRPr="00F72BD2">
        <w:rPr>
          <w:rFonts w:ascii="Arial" w:hAnsi="Arial" w:cs="Arial"/>
          <w:b/>
          <w:bCs/>
        </w:rPr>
        <w:t xml:space="preserve">Tester : </w:t>
      </w:r>
      <w:r w:rsidRPr="00F72BD2">
        <w:rPr>
          <w:rFonts w:ascii="Arial" w:hAnsi="Arial" w:cs="Arial"/>
        </w:rPr>
        <w:t xml:space="preserve">avant de mettre un objet d’enseignement à l’étude, il peut être utile de tester les prérequis de certains élèves pour lesquels on ne situe pas précisément le niveau. </w:t>
      </w:r>
    </w:p>
    <w:p w:rsidR="00BF0C78" w:rsidRPr="00F72BD2" w:rsidRDefault="00BF0C78" w:rsidP="00BF0C78">
      <w:pPr>
        <w:pStyle w:val="Default"/>
        <w:spacing w:after="56"/>
        <w:jc w:val="both"/>
        <w:rPr>
          <w:rFonts w:ascii="Arial" w:hAnsi="Arial" w:cs="Arial"/>
        </w:rPr>
      </w:pPr>
    </w:p>
    <w:p w:rsidR="00BF0C78" w:rsidRDefault="00BF0C78" w:rsidP="00BF0C78">
      <w:pPr>
        <w:pStyle w:val="Default"/>
        <w:spacing w:after="56"/>
        <w:jc w:val="both"/>
        <w:rPr>
          <w:rFonts w:ascii="Arial" w:hAnsi="Arial" w:cs="Arial"/>
        </w:rPr>
      </w:pPr>
      <w:r w:rsidRPr="00F72BD2">
        <w:rPr>
          <w:rFonts w:ascii="Arial" w:hAnsi="Arial" w:cs="Arial"/>
          <w:b/>
          <w:bCs/>
        </w:rPr>
        <w:t xml:space="preserve">2. Réactiver : </w:t>
      </w:r>
      <w:r w:rsidRPr="00F72BD2">
        <w:rPr>
          <w:rFonts w:ascii="Arial" w:hAnsi="Arial" w:cs="Arial"/>
        </w:rPr>
        <w:t xml:space="preserve">le fait de réactiver les notions utiles pour l’enseignement qui va suivre peut constituer une aide efficace pour certains élèves. </w:t>
      </w:r>
    </w:p>
    <w:p w:rsidR="00BF0C78" w:rsidRPr="00F72BD2" w:rsidRDefault="00BF0C78" w:rsidP="00BF0C78">
      <w:pPr>
        <w:pStyle w:val="Default"/>
        <w:spacing w:after="56"/>
        <w:jc w:val="both"/>
        <w:rPr>
          <w:rFonts w:ascii="Arial" w:hAnsi="Arial" w:cs="Arial"/>
        </w:rPr>
      </w:pPr>
    </w:p>
    <w:p w:rsidR="00BF0C78" w:rsidRPr="00F72BD2" w:rsidRDefault="00BF0C78" w:rsidP="00BF0C78">
      <w:pPr>
        <w:pStyle w:val="Default"/>
        <w:jc w:val="both"/>
        <w:rPr>
          <w:rFonts w:ascii="Arial" w:hAnsi="Arial" w:cs="Arial"/>
        </w:rPr>
      </w:pPr>
      <w:r w:rsidRPr="00F72BD2">
        <w:rPr>
          <w:rFonts w:ascii="Arial" w:hAnsi="Arial" w:cs="Arial"/>
          <w:b/>
          <w:bCs/>
        </w:rPr>
        <w:t xml:space="preserve">3. Préparer : </w:t>
      </w:r>
      <w:r w:rsidRPr="00F72BD2">
        <w:rPr>
          <w:rFonts w:ascii="Arial" w:hAnsi="Arial" w:cs="Arial"/>
        </w:rPr>
        <w:t xml:space="preserve">l’enseignant peut préparer certains élèves à une activité en leur fournissant des clés d’accès, des repères avant l’activité (ex : table d’appui, voir encadré ci-dessous). </w:t>
      </w:r>
    </w:p>
    <w:p w:rsidR="00BF0C78" w:rsidRPr="00F72BD2" w:rsidRDefault="00BF0C78" w:rsidP="00BF0C78">
      <w:pPr>
        <w:pStyle w:val="Default"/>
        <w:jc w:val="both"/>
        <w:rPr>
          <w:rFonts w:ascii="Arial" w:hAnsi="Arial" w:cs="Arial"/>
        </w:rPr>
      </w:pPr>
    </w:p>
    <w:p w:rsidR="00BF0C78" w:rsidRDefault="00BF0C78" w:rsidP="00BF0C78">
      <w:pPr>
        <w:jc w:val="both"/>
      </w:pPr>
      <w:r>
        <w:t>[…]</w:t>
      </w:r>
    </w:p>
    <w:p w:rsidR="00BF0C78" w:rsidRPr="00F72BD2" w:rsidRDefault="00BF0C78" w:rsidP="00BF0C78">
      <w:pPr>
        <w:pStyle w:val="Default"/>
        <w:rPr>
          <w:rFonts w:ascii="Calibri" w:hAnsi="Calibri" w:cs="Calibri"/>
        </w:rPr>
      </w:pPr>
      <w:r>
        <w:tab/>
      </w:r>
    </w:p>
    <w:p w:rsidR="00BF0C78" w:rsidRPr="00F72BD2" w:rsidRDefault="00BF0C78" w:rsidP="00BF0C78">
      <w:pPr>
        <w:numPr>
          <w:ilvl w:val="0"/>
          <w:numId w:val="1"/>
        </w:numPr>
        <w:autoSpaceDE w:val="0"/>
        <w:autoSpaceDN w:val="0"/>
        <w:adjustRightInd w:val="0"/>
        <w:rPr>
          <w:b w:val="0"/>
          <w:color w:val="000000"/>
        </w:rPr>
      </w:pPr>
      <w:r w:rsidRPr="00F72BD2">
        <w:rPr>
          <w:bCs/>
          <w:color w:val="000000"/>
        </w:rPr>
        <w:t xml:space="preserve">Différencier PENDANT l’enseignement </w:t>
      </w:r>
    </w:p>
    <w:p w:rsidR="00BF0C78" w:rsidRPr="00F72BD2" w:rsidRDefault="00BF0C78" w:rsidP="00BF0C78">
      <w:pPr>
        <w:autoSpaceDE w:val="0"/>
        <w:autoSpaceDN w:val="0"/>
        <w:adjustRightInd w:val="0"/>
        <w:rPr>
          <w:b w:val="0"/>
          <w:color w:val="000000"/>
        </w:rPr>
      </w:pPr>
    </w:p>
    <w:p w:rsidR="00BF0C78" w:rsidRPr="00F72BD2" w:rsidRDefault="00BF0C78" w:rsidP="00BF0C78">
      <w:pPr>
        <w:autoSpaceDE w:val="0"/>
        <w:autoSpaceDN w:val="0"/>
        <w:adjustRightInd w:val="0"/>
        <w:jc w:val="both"/>
        <w:rPr>
          <w:b w:val="0"/>
          <w:color w:val="000000"/>
        </w:rPr>
      </w:pPr>
      <w:r w:rsidRPr="00F72BD2">
        <w:rPr>
          <w:bCs/>
          <w:color w:val="000000"/>
        </w:rPr>
        <w:t>1. Soutenir</w:t>
      </w:r>
      <w:r w:rsidRPr="00F72BD2">
        <w:rPr>
          <w:b w:val="0"/>
          <w:bCs/>
          <w:color w:val="000000"/>
        </w:rPr>
        <w:t xml:space="preserve"> </w:t>
      </w:r>
      <w:r w:rsidRPr="00F72BD2">
        <w:rPr>
          <w:b w:val="0"/>
          <w:color w:val="000000"/>
        </w:rPr>
        <w:t xml:space="preserve">: l’enseignant peut soutenir/étayer les élèves (ex : aide individuelle ou interaction guidée, voir encadré ci-dessous) </w:t>
      </w:r>
    </w:p>
    <w:p w:rsidR="00BF0C78" w:rsidRPr="00F72BD2" w:rsidRDefault="00BF0C78" w:rsidP="00BF0C78">
      <w:pPr>
        <w:autoSpaceDE w:val="0"/>
        <w:autoSpaceDN w:val="0"/>
        <w:adjustRightInd w:val="0"/>
        <w:jc w:val="both"/>
        <w:rPr>
          <w:b w:val="0"/>
          <w:color w:val="000000"/>
        </w:rPr>
      </w:pPr>
      <w:r w:rsidRPr="00F72BD2">
        <w:rPr>
          <w:b w:val="0"/>
          <w:color w:val="000000"/>
        </w:rPr>
        <w:t>L’</w:t>
      </w:r>
      <w:r w:rsidRPr="00F72BD2">
        <w:rPr>
          <w:b w:val="0"/>
          <w:bCs/>
          <w:color w:val="000000"/>
        </w:rPr>
        <w:t xml:space="preserve">aide individuelle </w:t>
      </w:r>
      <w:r w:rsidRPr="00F72BD2">
        <w:rPr>
          <w:b w:val="0"/>
          <w:color w:val="000000"/>
        </w:rPr>
        <w:t xml:space="preserve">est la forme d’aide différenciée la plus courante. Elle permet d’offrir une aide à certains élèves lors de la réalisation d’exercices individuels. L’enseignant peut procéder à des </w:t>
      </w:r>
      <w:r w:rsidRPr="00F72BD2">
        <w:rPr>
          <w:b w:val="0"/>
          <w:bCs/>
          <w:color w:val="000000"/>
        </w:rPr>
        <w:t xml:space="preserve">adaptations de la tâche </w:t>
      </w:r>
      <w:r w:rsidRPr="00F72BD2">
        <w:rPr>
          <w:b w:val="0"/>
          <w:color w:val="000000"/>
        </w:rPr>
        <w:t xml:space="preserve">(repères complémentaires, consignes allégées) et planifier le retrait progressif de ces aides. </w:t>
      </w:r>
    </w:p>
    <w:p w:rsidR="00BF0C78" w:rsidRDefault="00BF0C78" w:rsidP="00BF0C78">
      <w:pPr>
        <w:autoSpaceDE w:val="0"/>
        <w:autoSpaceDN w:val="0"/>
        <w:adjustRightInd w:val="0"/>
        <w:jc w:val="both"/>
        <w:rPr>
          <w:b w:val="0"/>
          <w:color w:val="000000"/>
        </w:rPr>
      </w:pPr>
      <w:r w:rsidRPr="00F72BD2">
        <w:rPr>
          <w:b w:val="0"/>
          <w:color w:val="000000"/>
        </w:rPr>
        <w:t>Dans un premier temps, l’</w:t>
      </w:r>
      <w:r w:rsidRPr="00F72BD2">
        <w:rPr>
          <w:b w:val="0"/>
          <w:bCs/>
          <w:color w:val="000000"/>
        </w:rPr>
        <w:t xml:space="preserve">interaction guidée </w:t>
      </w:r>
      <w:r w:rsidRPr="00F72BD2">
        <w:rPr>
          <w:b w:val="0"/>
          <w:color w:val="000000"/>
        </w:rPr>
        <w:t xml:space="preserve">laisse les élèves débuter seuls une tâche individuelle. Dans un deuxième temps, l’enseignant regroupe les élèves « repérés » en difficultés qui poursuivent l’activité sous la forme d’une interaction guidée. Les interventions de l’enseignant ont pour but de </w:t>
      </w:r>
      <w:r w:rsidRPr="00F72BD2">
        <w:rPr>
          <w:b w:val="0"/>
          <w:bCs/>
          <w:color w:val="000000"/>
        </w:rPr>
        <w:t xml:space="preserve">favoriser les échanges, les comparaisons et le débat entre élèves </w:t>
      </w:r>
      <w:r w:rsidRPr="00F72BD2">
        <w:rPr>
          <w:b w:val="0"/>
          <w:color w:val="000000"/>
        </w:rPr>
        <w:t xml:space="preserve">sur la tâche en jeu. </w:t>
      </w:r>
    </w:p>
    <w:p w:rsidR="00BF0C78" w:rsidRPr="00F72BD2" w:rsidRDefault="00BF0C78" w:rsidP="00BF0C78">
      <w:pPr>
        <w:autoSpaceDE w:val="0"/>
        <w:autoSpaceDN w:val="0"/>
        <w:adjustRightInd w:val="0"/>
        <w:jc w:val="both"/>
        <w:rPr>
          <w:b w:val="0"/>
          <w:color w:val="000000"/>
        </w:rPr>
      </w:pPr>
    </w:p>
    <w:p w:rsidR="00BF0C78" w:rsidRDefault="00BF0C78" w:rsidP="00BF0C78">
      <w:pPr>
        <w:autoSpaceDE w:val="0"/>
        <w:autoSpaceDN w:val="0"/>
        <w:adjustRightInd w:val="0"/>
        <w:spacing w:after="58"/>
        <w:jc w:val="both"/>
        <w:rPr>
          <w:b w:val="0"/>
          <w:color w:val="000000"/>
        </w:rPr>
      </w:pPr>
      <w:r w:rsidRPr="00F72BD2">
        <w:rPr>
          <w:bCs/>
          <w:color w:val="000000"/>
        </w:rPr>
        <w:t>2. Adapter</w:t>
      </w:r>
      <w:r w:rsidRPr="00F72BD2">
        <w:rPr>
          <w:b w:val="0"/>
          <w:bCs/>
          <w:color w:val="000000"/>
        </w:rPr>
        <w:t xml:space="preserve"> : </w:t>
      </w:r>
      <w:r w:rsidRPr="00F72BD2">
        <w:rPr>
          <w:b w:val="0"/>
          <w:color w:val="000000"/>
        </w:rPr>
        <w:t xml:space="preserve">l’adaptation des conditions de réalisation d’une tâche englobe à la fois l’aménagement des supports (matériel), de la consigne, des exigences, de la qualité de travail ou encore du temps mis à la disposition. </w:t>
      </w:r>
    </w:p>
    <w:p w:rsidR="00BF0C78" w:rsidRPr="00F72BD2" w:rsidRDefault="00BF0C78" w:rsidP="00BF0C78">
      <w:pPr>
        <w:autoSpaceDE w:val="0"/>
        <w:autoSpaceDN w:val="0"/>
        <w:adjustRightInd w:val="0"/>
        <w:spacing w:after="58"/>
        <w:jc w:val="both"/>
        <w:rPr>
          <w:b w:val="0"/>
          <w:color w:val="000000"/>
        </w:rPr>
      </w:pPr>
    </w:p>
    <w:p w:rsidR="00BF0C78" w:rsidRPr="00F72BD2" w:rsidRDefault="00BF0C78" w:rsidP="00BF0C78">
      <w:pPr>
        <w:autoSpaceDE w:val="0"/>
        <w:autoSpaceDN w:val="0"/>
        <w:adjustRightInd w:val="0"/>
        <w:jc w:val="both"/>
        <w:rPr>
          <w:b w:val="0"/>
          <w:color w:val="000000"/>
        </w:rPr>
      </w:pPr>
      <w:r w:rsidRPr="00F72BD2">
        <w:rPr>
          <w:bCs/>
          <w:color w:val="000000"/>
        </w:rPr>
        <w:t>3. Évaluer</w:t>
      </w:r>
      <w:r w:rsidRPr="00F72BD2">
        <w:rPr>
          <w:b w:val="0"/>
          <w:bCs/>
          <w:color w:val="000000"/>
        </w:rPr>
        <w:t xml:space="preserve"> </w:t>
      </w:r>
      <w:r w:rsidRPr="00F72BD2">
        <w:rPr>
          <w:b w:val="0"/>
          <w:color w:val="000000"/>
        </w:rPr>
        <w:t xml:space="preserve">: il n’est pas toujours nécessaire de recueillir l’information pour chaque élève, mais de cibler les élèves dont la progression pose problème. </w:t>
      </w:r>
    </w:p>
    <w:p w:rsidR="00BF0C78" w:rsidRPr="00F72BD2" w:rsidRDefault="00BF0C78" w:rsidP="00BF0C78">
      <w:pPr>
        <w:autoSpaceDE w:val="0"/>
        <w:autoSpaceDN w:val="0"/>
        <w:adjustRightInd w:val="0"/>
        <w:jc w:val="both"/>
        <w:rPr>
          <w:b w:val="0"/>
          <w:color w:val="000000"/>
        </w:rPr>
      </w:pPr>
      <w:bookmarkStart w:id="0" w:name="_GoBack"/>
      <w:bookmarkEnd w:id="0"/>
    </w:p>
    <w:p w:rsidR="00BF0C78" w:rsidRPr="00F72BD2" w:rsidRDefault="00BF0C78" w:rsidP="00BF0C78">
      <w:pPr>
        <w:numPr>
          <w:ilvl w:val="0"/>
          <w:numId w:val="1"/>
        </w:numPr>
        <w:autoSpaceDE w:val="0"/>
        <w:autoSpaceDN w:val="0"/>
        <w:adjustRightInd w:val="0"/>
        <w:jc w:val="both"/>
        <w:rPr>
          <w:color w:val="000000"/>
        </w:rPr>
      </w:pPr>
      <w:r w:rsidRPr="00F72BD2">
        <w:rPr>
          <w:color w:val="000000"/>
        </w:rPr>
        <w:lastRenderedPageBreak/>
        <w:t xml:space="preserve">Différencier APRÈS l’enseignement </w:t>
      </w:r>
    </w:p>
    <w:p w:rsidR="00BF0C78" w:rsidRPr="00F72BD2" w:rsidRDefault="00BF0C78" w:rsidP="00BF0C78">
      <w:pPr>
        <w:autoSpaceDE w:val="0"/>
        <w:autoSpaceDN w:val="0"/>
        <w:adjustRightInd w:val="0"/>
        <w:jc w:val="both"/>
        <w:rPr>
          <w:b w:val="0"/>
          <w:color w:val="000000"/>
        </w:rPr>
      </w:pPr>
    </w:p>
    <w:p w:rsidR="00BF0C78" w:rsidRPr="00F72BD2" w:rsidRDefault="00BF0C78" w:rsidP="00BF0C78">
      <w:pPr>
        <w:autoSpaceDE w:val="0"/>
        <w:autoSpaceDN w:val="0"/>
        <w:adjustRightInd w:val="0"/>
        <w:jc w:val="both"/>
        <w:rPr>
          <w:b w:val="0"/>
          <w:color w:val="000000"/>
        </w:rPr>
      </w:pPr>
      <w:r w:rsidRPr="00F72BD2">
        <w:rPr>
          <w:color w:val="000000"/>
        </w:rPr>
        <w:t>1. Exercer</w:t>
      </w:r>
      <w:r w:rsidRPr="00F72BD2">
        <w:rPr>
          <w:b w:val="0"/>
          <w:color w:val="000000"/>
        </w:rPr>
        <w:t xml:space="preserve"> : tous les élèves ne sont pas égaux face à l’automatisation des procédures apprises et certains auront besoin d’un temps de consolidation (ex : plan de travail, voir encadré ci-dessous). </w:t>
      </w:r>
    </w:p>
    <w:p w:rsidR="00BF0C78" w:rsidRDefault="00BF0C78" w:rsidP="00BF0C78">
      <w:pPr>
        <w:autoSpaceDE w:val="0"/>
        <w:autoSpaceDN w:val="0"/>
        <w:adjustRightInd w:val="0"/>
        <w:jc w:val="both"/>
        <w:rPr>
          <w:b w:val="0"/>
          <w:color w:val="000000"/>
        </w:rPr>
      </w:pPr>
      <w:r w:rsidRPr="00F72BD2">
        <w:rPr>
          <w:b w:val="0"/>
          <w:color w:val="000000"/>
        </w:rPr>
        <w:t xml:space="preserve">Le plan de travail consiste à mettre en place une série de tâches/activités en lien direct avec des contenus déjà travaillés en classe. L’aspect différencié tient au fait que chaque élève est libre de choisir dans quel ordre et à quel rythme les effectuer, à condition de respecter l’échéance fixée. L’enseignant peut qualifier certaines tâches d’obligatoires et d’autres de facultatives. Durant ce travail individuel, l’enseignant peut se rendre disponible pour aider les élèves en difficulté. Il offre ainsi un mode de travail autogéré pour la majorité des élèves et un format d’interaction proche de l’enseignement individualisé pour les élèves en difficulté. </w:t>
      </w:r>
    </w:p>
    <w:p w:rsidR="00BF0C78" w:rsidRPr="00F72BD2" w:rsidRDefault="00BF0C78" w:rsidP="00BF0C78">
      <w:pPr>
        <w:autoSpaceDE w:val="0"/>
        <w:autoSpaceDN w:val="0"/>
        <w:adjustRightInd w:val="0"/>
        <w:jc w:val="both"/>
        <w:rPr>
          <w:b w:val="0"/>
          <w:color w:val="000000"/>
        </w:rPr>
      </w:pPr>
    </w:p>
    <w:p w:rsidR="00BF0C78" w:rsidRPr="00F72BD2" w:rsidRDefault="00BF0C78" w:rsidP="00BF0C78">
      <w:pPr>
        <w:autoSpaceDE w:val="0"/>
        <w:autoSpaceDN w:val="0"/>
        <w:adjustRightInd w:val="0"/>
        <w:jc w:val="both"/>
        <w:rPr>
          <w:b w:val="0"/>
          <w:color w:val="000000"/>
        </w:rPr>
      </w:pPr>
      <w:r w:rsidRPr="00F72BD2">
        <w:rPr>
          <w:color w:val="000000"/>
        </w:rPr>
        <w:t>2. Revoir</w:t>
      </w:r>
      <w:r w:rsidRPr="00F72BD2">
        <w:rPr>
          <w:b w:val="0"/>
          <w:color w:val="000000"/>
        </w:rPr>
        <w:t xml:space="preserve"> : les difficultés d’un élève ne sont pas celles d’un autre et la révision de certains éléments non acquis sera ciblée sur les difficultés effectives des élèves (ex : groupes de besoins, voir encadré ci-dessous). </w:t>
      </w:r>
    </w:p>
    <w:p w:rsidR="00BF0C78" w:rsidRPr="00F72BD2" w:rsidRDefault="00BF0C78" w:rsidP="00BF0C78">
      <w:pPr>
        <w:autoSpaceDE w:val="0"/>
        <w:autoSpaceDN w:val="0"/>
        <w:adjustRightInd w:val="0"/>
        <w:jc w:val="both"/>
        <w:rPr>
          <w:b w:val="0"/>
          <w:color w:val="000000"/>
        </w:rPr>
      </w:pPr>
    </w:p>
    <w:p w:rsidR="00BF0C78" w:rsidRPr="00F72BD2" w:rsidRDefault="00BF0C78" w:rsidP="00BF0C78">
      <w:pPr>
        <w:autoSpaceDE w:val="0"/>
        <w:autoSpaceDN w:val="0"/>
        <w:adjustRightInd w:val="0"/>
        <w:jc w:val="both"/>
        <w:rPr>
          <w:b w:val="0"/>
          <w:color w:val="000000"/>
        </w:rPr>
      </w:pPr>
      <w:r w:rsidRPr="00F72BD2">
        <w:rPr>
          <w:b w:val="0"/>
          <w:color w:val="000000"/>
        </w:rPr>
        <w:t>Le dispositif de groupes de besoins consiste à répartir ponctuellement les élèves en sous-groupes homogènes. Cette organisation permet de mettre en place une action pédagogique efficace car ciblée sur des besoins partagés. Pour que cette action fonctionne, il est nécessaire que le temps passé en groupes homogènes repose au préalable sur l’évaluation d’une compétence précise, que ces groupements soient flexibles et que leur pertinence soit régulièrement réévaluée en fonction des progrès des élèves. Le principal écueil à ce dispositif est la stigmatisation et la démotivation si un élève est affecté durablement à un groupe de besoin constitué d’élèves de niveau bas.</w:t>
      </w:r>
    </w:p>
    <w:p w:rsidR="00C30257" w:rsidRDefault="00C30257"/>
    <w:sectPr w:rsidR="00C30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6663"/>
    <w:multiLevelType w:val="hybridMultilevel"/>
    <w:tmpl w:val="DEF4F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D76C28"/>
    <w:multiLevelType w:val="hybridMultilevel"/>
    <w:tmpl w:val="1B3E6982"/>
    <w:lvl w:ilvl="0" w:tplc="25F209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78"/>
    <w:rsid w:val="00BF0C78"/>
    <w:rsid w:val="00C30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13D5"/>
  <w15:chartTrackingRefBased/>
  <w15:docId w15:val="{5106991D-2503-4832-8813-4102293D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78"/>
    <w:pPr>
      <w:spacing w:after="0" w:line="240" w:lineRule="auto"/>
    </w:pPr>
    <w:rPr>
      <w:rFonts w:ascii="Arial" w:eastAsia="Times New Roman" w:hAnsi="Arial" w:cs="Arial"/>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0C78"/>
    <w:pPr>
      <w:autoSpaceDE w:val="0"/>
      <w:autoSpaceDN w:val="0"/>
      <w:adjustRightInd w:val="0"/>
      <w:spacing w:after="0" w:line="240" w:lineRule="auto"/>
    </w:pPr>
    <w:rPr>
      <w:rFonts w:ascii="Cambria" w:eastAsia="Times New Roman" w:hAnsi="Cambria" w:cs="Cambri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3270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cp:revision>
  <dcterms:created xsi:type="dcterms:W3CDTF">2018-01-05T17:24:00Z</dcterms:created>
  <dcterms:modified xsi:type="dcterms:W3CDTF">2018-01-05T17:25:00Z</dcterms:modified>
</cp:coreProperties>
</file>