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Spec="center" w:tblpY="-900"/>
        <w:tblW w:w="5107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49"/>
        <w:gridCol w:w="8473"/>
      </w:tblGrid>
      <w:tr w:rsidR="001534AE" w:rsidRPr="00D12721" w:rsidTr="001534AE">
        <w:trPr>
          <w:trHeight w:val="567"/>
          <w:jc w:val="center"/>
        </w:trPr>
        <w:tc>
          <w:tcPr>
            <w:tcW w:w="935" w:type="pct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1534AE" w:rsidRPr="001534AE" w:rsidRDefault="001534AE" w:rsidP="00850F25">
            <w:pPr>
              <w:pStyle w:val="Nomdelasocit"/>
              <w:spacing w:line="276" w:lineRule="auto"/>
              <w:rPr>
                <w:b w:val="0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65" w:type="pct"/>
            <w:shd w:val="clear" w:color="auto" w:fill="FFFFFF" w:themeFill="background1"/>
            <w:vAlign w:val="center"/>
          </w:tcPr>
          <w:p w:rsidR="001534AE" w:rsidRPr="001534AE" w:rsidRDefault="001534AE" w:rsidP="00EE084D">
            <w:pPr>
              <w:spacing w:after="0" w:line="240" w:lineRule="auto"/>
              <w:jc w:val="center"/>
              <w:rPr>
                <w:rFonts w:cstheme="minorHAnsi"/>
                <w:color w:val="002060"/>
                <w:sz w:val="16"/>
                <w:szCs w:val="16"/>
              </w:rPr>
            </w:pPr>
          </w:p>
        </w:tc>
      </w:tr>
      <w:tr w:rsidR="00EE084D" w:rsidRPr="00D12721" w:rsidTr="002B1610">
        <w:trPr>
          <w:trHeight w:val="1134"/>
          <w:jc w:val="center"/>
        </w:trPr>
        <w:tc>
          <w:tcPr>
            <w:tcW w:w="935" w:type="pct"/>
            <w:shd w:val="clear" w:color="auto" w:fill="FFFFFF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p w:rsidR="00EE084D" w:rsidRDefault="00EE084D" w:rsidP="00850F25">
            <w:pPr>
              <w:pStyle w:val="Nomdelasocit"/>
              <w:spacing w:line="276" w:lineRule="auto"/>
            </w:pPr>
            <w:r w:rsidRPr="00297823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EAC96A5" wp14:editId="3E1C411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17780</wp:posOffset>
                  </wp:positionV>
                  <wp:extent cx="900000" cy="964800"/>
                  <wp:effectExtent l="0" t="0" r="0" b="6985"/>
                  <wp:wrapNone/>
                  <wp:docPr id="3" name="Image 3" descr="C:\Users\Circo\AppData\Local\Temp\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Temp\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084D" w:rsidRDefault="00EE084D" w:rsidP="00850F25">
            <w:pPr>
              <w:pStyle w:val="Nomdelasocit"/>
              <w:spacing w:line="276" w:lineRule="auto"/>
              <w:jc w:val="right"/>
            </w:pPr>
          </w:p>
          <w:p w:rsidR="00EE084D" w:rsidRDefault="00EE084D" w:rsidP="00850F25">
            <w:pPr>
              <w:pStyle w:val="Nomdelasocit"/>
              <w:spacing w:line="276" w:lineRule="auto"/>
              <w:jc w:val="right"/>
            </w:pPr>
          </w:p>
          <w:p w:rsidR="00EE084D" w:rsidRPr="006F3850" w:rsidRDefault="00EE084D" w:rsidP="00EE084D">
            <w:pPr>
              <w:spacing w:after="0" w:line="240" w:lineRule="auto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065" w:type="pct"/>
            <w:shd w:val="clear" w:color="auto" w:fill="BDD6EE" w:themeFill="accent1" w:themeFillTint="66"/>
            <w:vAlign w:val="center"/>
          </w:tcPr>
          <w:p w:rsidR="00EE084D" w:rsidRPr="00EE084D" w:rsidRDefault="00EE084D" w:rsidP="00EE084D">
            <w:pPr>
              <w:spacing w:after="0" w:line="240" w:lineRule="auto"/>
              <w:jc w:val="center"/>
              <w:rPr>
                <w:rFonts w:cstheme="minorHAnsi"/>
                <w:b/>
                <w:color w:val="002060"/>
                <w:sz w:val="50"/>
                <w:szCs w:val="50"/>
              </w:rPr>
            </w:pPr>
            <w:r w:rsidRPr="00EE084D">
              <w:rPr>
                <w:rFonts w:cstheme="minorHAnsi"/>
                <w:b/>
                <w:color w:val="002060"/>
                <w:sz w:val="50"/>
                <w:szCs w:val="50"/>
              </w:rPr>
              <w:t>Protocole sanitaire</w:t>
            </w:r>
          </w:p>
          <w:p w:rsidR="00EE084D" w:rsidRDefault="00EE084D" w:rsidP="00EE084D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02060"/>
              </w:rPr>
            </w:pPr>
            <w:r w:rsidRPr="00EE084D">
              <w:rPr>
                <w:rFonts w:cstheme="minorHAnsi"/>
                <w:b/>
                <w:i/>
                <w:color w:val="002060"/>
              </w:rPr>
              <w:t xml:space="preserve">Principes généraux d’accueil </w:t>
            </w:r>
            <w:r>
              <w:rPr>
                <w:rFonts w:cstheme="minorHAnsi"/>
                <w:b/>
                <w:i/>
                <w:color w:val="002060"/>
              </w:rPr>
              <w:t>suite à la réouverture</w:t>
            </w:r>
          </w:p>
          <w:p w:rsidR="00EE084D" w:rsidRPr="00BA02FF" w:rsidRDefault="00EE084D" w:rsidP="00EE084D">
            <w:pPr>
              <w:spacing w:after="0" w:line="240" w:lineRule="auto"/>
              <w:jc w:val="center"/>
              <w:rPr>
                <w:sz w:val="14"/>
              </w:rPr>
            </w:pPr>
            <w:r w:rsidRPr="00EE084D">
              <w:rPr>
                <w:rFonts w:cstheme="minorHAnsi"/>
                <w:b/>
                <w:i/>
                <w:color w:val="002060"/>
              </w:rPr>
              <w:t>des écoles maternelles et élémentaires</w:t>
            </w:r>
          </w:p>
        </w:tc>
      </w:tr>
    </w:tbl>
    <w:p w:rsidR="00EE084D" w:rsidRDefault="00EE084D" w:rsidP="002C6ADC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p w:rsidR="005D456B" w:rsidRDefault="005D456B" w:rsidP="002C6ADC">
      <w:pPr>
        <w:spacing w:after="0" w:line="240" w:lineRule="auto"/>
        <w:rPr>
          <w:rFonts w:cstheme="minorHAnsi"/>
          <w:color w:val="FF0000"/>
          <w:sz w:val="16"/>
          <w:szCs w:val="16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4447"/>
        <w:gridCol w:w="4263"/>
      </w:tblGrid>
      <w:tr w:rsidR="008C53E1" w:rsidTr="001A5927">
        <w:tc>
          <w:tcPr>
            <w:tcW w:w="6048" w:type="dxa"/>
            <w:gridSpan w:val="2"/>
            <w:shd w:val="clear" w:color="auto" w:fill="DEEAF6" w:themeFill="accent1" w:themeFillTint="33"/>
            <w:vAlign w:val="center"/>
          </w:tcPr>
          <w:p w:rsidR="008C53E1" w:rsidRPr="003A4400" w:rsidRDefault="008C53E1" w:rsidP="008C53E1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3A4400">
              <w:rPr>
                <w:rFonts w:cstheme="minorHAnsi"/>
                <w:color w:val="002060"/>
                <w:sz w:val="28"/>
                <w:szCs w:val="28"/>
              </w:rPr>
              <w:t xml:space="preserve">Ecole : </w:t>
            </w:r>
          </w:p>
          <w:p w:rsidR="008C53E1" w:rsidRPr="003A4400" w:rsidRDefault="008C53E1" w:rsidP="008C53E1">
            <w:pPr>
              <w:rPr>
                <w:rFonts w:cstheme="minorHAnsi"/>
                <w:color w:val="002060"/>
              </w:rPr>
            </w:pPr>
            <w:r w:rsidRPr="003A4400">
              <w:rPr>
                <w:rFonts w:cstheme="minorHAnsi"/>
                <w:color w:val="002060"/>
                <w:sz w:val="28"/>
                <w:szCs w:val="28"/>
              </w:rPr>
              <w:t>Adresse :</w:t>
            </w:r>
            <w:r w:rsidRPr="003A4400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4295" w:type="dxa"/>
            <w:shd w:val="clear" w:color="auto" w:fill="DEEAF6" w:themeFill="accent1" w:themeFillTint="33"/>
            <w:vAlign w:val="center"/>
          </w:tcPr>
          <w:p w:rsidR="008C53E1" w:rsidRPr="003A4400" w:rsidRDefault="008C53E1" w:rsidP="008C53E1">
            <w:pPr>
              <w:widowControl w:val="0"/>
              <w:rPr>
                <w:color w:val="002060"/>
                <w:sz w:val="28"/>
                <w:szCs w:val="28"/>
              </w:rPr>
            </w:pPr>
            <w:r w:rsidRPr="003A4400">
              <w:rPr>
                <w:rFonts w:ascii="Webdings" w:hAnsi="Webdings"/>
                <w:color w:val="002060"/>
                <w:sz w:val="28"/>
                <w:szCs w:val="28"/>
              </w:rPr>
              <w:t></w:t>
            </w:r>
            <w:r w:rsidRPr="003A4400">
              <w:rPr>
                <w:color w:val="002060"/>
                <w:sz w:val="28"/>
                <w:szCs w:val="28"/>
              </w:rPr>
              <w:t xml:space="preserve"> 04 ...</w:t>
            </w:r>
          </w:p>
          <w:p w:rsidR="008C53E1" w:rsidRPr="003A4400" w:rsidRDefault="008C53E1" w:rsidP="008C53E1">
            <w:pPr>
              <w:widowControl w:val="0"/>
              <w:rPr>
                <w:color w:val="002060"/>
                <w:sz w:val="28"/>
                <w:szCs w:val="28"/>
              </w:rPr>
            </w:pPr>
            <w:r w:rsidRPr="003A4400">
              <w:rPr>
                <w:color w:val="002060"/>
                <w:sz w:val="28"/>
                <w:szCs w:val="28"/>
              </w:rPr>
              <w:t> </w:t>
            </w:r>
            <w:r w:rsidRPr="003A4400">
              <w:rPr>
                <w:rFonts w:ascii="Webdings" w:hAnsi="Webdings"/>
                <w:color w:val="002060"/>
                <w:sz w:val="28"/>
                <w:szCs w:val="28"/>
              </w:rPr>
              <w:t></w:t>
            </w:r>
            <w:r w:rsidRPr="003A4400">
              <w:rPr>
                <w:color w:val="002060"/>
                <w:sz w:val="28"/>
                <w:szCs w:val="28"/>
              </w:rPr>
              <w:t xml:space="preserve"> ce.001...</w:t>
            </w:r>
          </w:p>
        </w:tc>
      </w:tr>
      <w:tr w:rsidR="008C53E1" w:rsidTr="001A5927">
        <w:tc>
          <w:tcPr>
            <w:tcW w:w="10343" w:type="dxa"/>
            <w:gridSpan w:val="3"/>
            <w:vAlign w:val="center"/>
          </w:tcPr>
          <w:p w:rsidR="008C53E1" w:rsidRPr="008C53E1" w:rsidRDefault="008C53E1" w:rsidP="00AF7269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F7269" w:rsidTr="001A5927">
        <w:tc>
          <w:tcPr>
            <w:tcW w:w="1555" w:type="dxa"/>
            <w:vAlign w:val="center"/>
          </w:tcPr>
          <w:p w:rsidR="00AF7269" w:rsidRDefault="00AF7269" w:rsidP="00B74DA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30A886E1" wp14:editId="4C4B2DD2">
                  <wp:extent cx="720000" cy="471600"/>
                  <wp:effectExtent l="0" t="0" r="4445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rmomètr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vAlign w:val="center"/>
          </w:tcPr>
          <w:p w:rsidR="00AF7269" w:rsidRPr="00796ECF" w:rsidRDefault="00AF7269" w:rsidP="00AF7269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96ECF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C"/>
            </w:r>
            <w:r w:rsidRPr="00796ECF">
              <w:rPr>
                <w:rFonts w:cstheme="minorHAnsi"/>
                <w:b/>
                <w:color w:val="FF0000"/>
                <w:sz w:val="24"/>
                <w:szCs w:val="24"/>
              </w:rPr>
              <w:t xml:space="preserve"> Avant l’arrivée des enfants à l’école : </w:t>
            </w:r>
          </w:p>
          <w:p w:rsidR="00796ECF" w:rsidRPr="00796ECF" w:rsidRDefault="00796ECF" w:rsidP="00FC35B8">
            <w:pPr>
              <w:jc w:val="both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- </w:t>
            </w:r>
            <w:r w:rsidRPr="00796ECF">
              <w:rPr>
                <w:rFonts w:cs="Calibri"/>
                <w:color w:val="002060"/>
              </w:rPr>
              <w:t>En cas de symptômes évoquant un Covid-19 chez l’élève ou sa famille, les parents gardent leur enfant à la maison.</w:t>
            </w:r>
          </w:p>
          <w:p w:rsidR="00AF7269" w:rsidRPr="00796ECF" w:rsidRDefault="00796ECF" w:rsidP="00FC35B8">
            <w:pPr>
              <w:jc w:val="both"/>
              <w:rPr>
                <w:rFonts w:cs="Calibri"/>
                <w:color w:val="002060"/>
              </w:rPr>
            </w:pPr>
            <w:r w:rsidRPr="00796ECF">
              <w:rPr>
                <w:rFonts w:cs="Calibri"/>
                <w:color w:val="002060"/>
              </w:rPr>
              <w:t xml:space="preserve">- </w:t>
            </w:r>
            <w:r w:rsidRPr="00796ECF">
              <w:rPr>
                <w:rFonts w:cs="Calibri"/>
                <w:b/>
                <w:color w:val="002060"/>
              </w:rPr>
              <w:t>AVANT</w:t>
            </w:r>
            <w:r w:rsidRPr="00796ECF">
              <w:rPr>
                <w:rFonts w:cs="Calibri"/>
                <w:color w:val="002060"/>
              </w:rPr>
              <w:t xml:space="preserve"> le départ pour l’école</w:t>
            </w:r>
            <w:r>
              <w:rPr>
                <w:rFonts w:cs="Calibri"/>
                <w:color w:val="002060"/>
              </w:rPr>
              <w:t>, l</w:t>
            </w:r>
            <w:r w:rsidRPr="00796ECF">
              <w:rPr>
                <w:rFonts w:cs="Calibri"/>
                <w:color w:val="002060"/>
              </w:rPr>
              <w:t xml:space="preserve">es parents sont invités à prendre la température de leur enfant. </w:t>
            </w:r>
            <w:r w:rsidRPr="005D456B">
              <w:rPr>
                <w:rFonts w:cs="Calibri"/>
                <w:b/>
                <w:color w:val="002060"/>
              </w:rPr>
              <w:t>Si le thermomètre indique 37,8°C ou plus, l’enfant ne doit se rendre à l’école</w:t>
            </w:r>
            <w:r w:rsidRPr="00796ECF">
              <w:rPr>
                <w:rFonts w:cs="Calibri"/>
                <w:color w:val="002060"/>
              </w:rPr>
              <w:t>.</w:t>
            </w:r>
          </w:p>
          <w:p w:rsidR="007C3CEE" w:rsidRPr="007C3CEE" w:rsidRDefault="00796ECF" w:rsidP="00FC35B8">
            <w:pPr>
              <w:jc w:val="both"/>
              <w:rPr>
                <w:rFonts w:cs="Calibri"/>
                <w:color w:val="002060"/>
              </w:rPr>
            </w:pPr>
            <w:r>
              <w:rPr>
                <w:rFonts w:cs="Calibri"/>
                <w:color w:val="002060"/>
              </w:rPr>
              <w:t xml:space="preserve">- </w:t>
            </w:r>
            <w:r w:rsidRPr="00796ECF">
              <w:rPr>
                <w:rFonts w:cs="Calibri"/>
                <w:color w:val="002060"/>
              </w:rPr>
              <w:t>Il en est de même pour le personnel de l’école.</w:t>
            </w:r>
          </w:p>
        </w:tc>
      </w:tr>
      <w:tr w:rsidR="00592189" w:rsidTr="001A5927">
        <w:trPr>
          <w:trHeight w:val="20"/>
        </w:trPr>
        <w:tc>
          <w:tcPr>
            <w:tcW w:w="1555" w:type="dxa"/>
            <w:vAlign w:val="center"/>
          </w:tcPr>
          <w:p w:rsidR="00592189" w:rsidRPr="00E206F0" w:rsidRDefault="00592189" w:rsidP="00E206F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592189" w:rsidRPr="00E206F0" w:rsidRDefault="00592189" w:rsidP="00E206F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FC35B8" w:rsidTr="001A5927">
        <w:trPr>
          <w:trHeight w:val="1701"/>
        </w:trPr>
        <w:tc>
          <w:tcPr>
            <w:tcW w:w="1555" w:type="dxa"/>
            <w:vAlign w:val="center"/>
          </w:tcPr>
          <w:p w:rsidR="00FC35B8" w:rsidRDefault="002B1610" w:rsidP="00FC35B8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4FB0CFA7" wp14:editId="4D1B1D79">
                  <wp:extent cx="900000" cy="666000"/>
                  <wp:effectExtent l="0" t="0" r="0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éco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</w:tcPr>
          <w:p w:rsidR="00FC35B8" w:rsidRDefault="00FC35B8" w:rsidP="001C5A71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96ECF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C"/>
            </w:r>
            <w:r w:rsidRPr="00796ECF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Aux abords de</w:t>
            </w:r>
            <w:r w:rsidRPr="00796ECF">
              <w:rPr>
                <w:rFonts w:cstheme="minorHAnsi"/>
                <w:b/>
                <w:color w:val="FF0000"/>
                <w:sz w:val="24"/>
                <w:szCs w:val="24"/>
              </w:rPr>
              <w:t xml:space="preserve"> l’école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et au portail</w:t>
            </w:r>
            <w:r w:rsidRPr="00796ECF">
              <w:rPr>
                <w:rFonts w:cstheme="minorHAnsi"/>
                <w:b/>
                <w:color w:val="FF0000"/>
                <w:sz w:val="24"/>
                <w:szCs w:val="24"/>
              </w:rPr>
              <w:t xml:space="preserve"> : </w:t>
            </w:r>
          </w:p>
          <w:p w:rsidR="00FC35B8" w:rsidRPr="007A6674" w:rsidRDefault="00FC35B8" w:rsidP="001C5A71">
            <w:pPr>
              <w:rPr>
                <w:rFonts w:cstheme="minorHAnsi"/>
                <w:b/>
                <w:color w:val="FF0000"/>
              </w:rPr>
            </w:pPr>
          </w:p>
          <w:p w:rsidR="007A6674" w:rsidRPr="007A6674" w:rsidRDefault="00FC35B8" w:rsidP="001C5A71">
            <w:pPr>
              <w:rPr>
                <w:rFonts w:cs="Calibri"/>
                <w:color w:val="002060"/>
              </w:rPr>
            </w:pPr>
            <w:r w:rsidRPr="007A6674">
              <w:rPr>
                <w:rFonts w:cs="Calibri"/>
                <w:color w:val="002060"/>
                <w:highlight w:val="yellow"/>
              </w:rPr>
              <w:t>A REMPLIR PAR CHAQUE DIRECTEUR SELON LE CONTEXTE</w:t>
            </w:r>
          </w:p>
          <w:p w:rsidR="00FC35B8" w:rsidRPr="007A6674" w:rsidRDefault="007A6674" w:rsidP="001C5A71">
            <w:pPr>
              <w:rPr>
                <w:rFonts w:cs="Calibri"/>
                <w:i/>
                <w:color w:val="002060"/>
              </w:rPr>
            </w:pPr>
            <w:r w:rsidRPr="007A6674">
              <w:rPr>
                <w:rFonts w:cs="Calibri"/>
                <w:i/>
                <w:color w:val="002060"/>
              </w:rPr>
              <w:t>(exemple : horaires décalés selon les groupes d’élèves…)</w:t>
            </w:r>
          </w:p>
        </w:tc>
      </w:tr>
      <w:tr w:rsidR="00592189" w:rsidTr="001A5927">
        <w:trPr>
          <w:trHeight w:val="20"/>
        </w:trPr>
        <w:tc>
          <w:tcPr>
            <w:tcW w:w="1555" w:type="dxa"/>
            <w:vAlign w:val="center"/>
          </w:tcPr>
          <w:p w:rsidR="00592189" w:rsidRPr="00E206F0" w:rsidRDefault="00592189" w:rsidP="00E206F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592189" w:rsidRPr="00E206F0" w:rsidRDefault="00592189" w:rsidP="00E206F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FC35B8" w:rsidTr="001A5927">
        <w:trPr>
          <w:trHeight w:val="1701"/>
        </w:trPr>
        <w:tc>
          <w:tcPr>
            <w:tcW w:w="1555" w:type="dxa"/>
            <w:vAlign w:val="center"/>
          </w:tcPr>
          <w:p w:rsidR="00FC35B8" w:rsidRDefault="00FC35B8" w:rsidP="00FC35B8">
            <w:pPr>
              <w:jc w:val="center"/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</w:pPr>
            <w:r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36391705" wp14:editId="4734DD5A">
                  <wp:extent cx="900000" cy="504000"/>
                  <wp:effectExtent l="0" t="0" r="0" b="0"/>
                  <wp:docPr id="11" name="Image 11" descr="C:\Users\Circo\Documents\Circo BGD\Favorites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Documents\Circo BGD\Favorites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vAlign w:val="center"/>
          </w:tcPr>
          <w:p w:rsidR="00FC35B8" w:rsidRPr="00FC35B8" w:rsidRDefault="00FC35B8" w:rsidP="00FC35B8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C35B8">
              <w:rPr>
                <w:rFonts w:cstheme="minorHAnsi"/>
                <w:b/>
                <w:color w:val="FF0000"/>
                <w:sz w:val="24"/>
                <w:szCs w:val="24"/>
              </w:rPr>
              <w:sym w:font="Wingdings" w:char="F0FC"/>
            </w:r>
            <w:r w:rsidRPr="00FC35B8">
              <w:rPr>
                <w:rFonts w:cstheme="minorHAnsi"/>
                <w:b/>
                <w:color w:val="FF0000"/>
                <w:sz w:val="24"/>
                <w:szCs w:val="24"/>
              </w:rPr>
              <w:t xml:space="preserve"> Les règles de distanciation :</w:t>
            </w:r>
          </w:p>
          <w:p w:rsidR="00FC35B8" w:rsidRPr="00FC35B8" w:rsidRDefault="00FC35B8" w:rsidP="00FC35B8">
            <w:pPr>
              <w:jc w:val="both"/>
              <w:rPr>
                <w:rFonts w:cstheme="minorHAnsi"/>
                <w:color w:val="002060"/>
              </w:rPr>
            </w:pPr>
            <w:r w:rsidRPr="00FC35B8">
              <w:rPr>
                <w:rFonts w:cstheme="minorHAnsi"/>
                <w:color w:val="002060"/>
              </w:rPr>
              <w:t>- Tout individu doit respecter une distance minimale d’un mètre entre chaque personne afin d’éviter les contacts directs, une contamination respiratoire et/ou par gouttelettes.</w:t>
            </w:r>
          </w:p>
          <w:p w:rsidR="00FC35B8" w:rsidRPr="00FC35B8" w:rsidRDefault="00FC35B8" w:rsidP="00FC35B8">
            <w:pPr>
              <w:jc w:val="both"/>
              <w:rPr>
                <w:rFonts w:cstheme="minorHAnsi"/>
                <w:i/>
                <w:color w:val="002060"/>
              </w:rPr>
            </w:pPr>
            <w:r w:rsidRPr="00FC35B8">
              <w:rPr>
                <w:rFonts w:cstheme="minorHAnsi"/>
                <w:color w:val="002060"/>
              </w:rPr>
              <w:t xml:space="preserve">- Cette distanciation est maintenue quel que soit le contexte : </w:t>
            </w:r>
            <w:r w:rsidRPr="00FC35B8">
              <w:rPr>
                <w:rFonts w:cstheme="minorHAnsi"/>
                <w:i/>
                <w:color w:val="002060"/>
              </w:rPr>
              <w:t>arrivée et abords de l’école, récréation</w:t>
            </w:r>
            <w:r w:rsidR="005D456B">
              <w:rPr>
                <w:rFonts w:cstheme="minorHAnsi"/>
                <w:i/>
                <w:color w:val="002060"/>
              </w:rPr>
              <w:t>, couloirs, préau, restauration</w:t>
            </w:r>
            <w:r w:rsidRPr="00FC35B8">
              <w:rPr>
                <w:rFonts w:cstheme="minorHAnsi"/>
                <w:i/>
                <w:color w:val="002060"/>
              </w:rPr>
              <w:t xml:space="preserve"> scolaire, sanitaire…</w:t>
            </w:r>
          </w:p>
          <w:p w:rsidR="00FC35B8" w:rsidRPr="00302603" w:rsidRDefault="00FC35B8" w:rsidP="009358F9">
            <w:pPr>
              <w:jc w:val="both"/>
              <w:rPr>
                <w:rFonts w:cstheme="minorHAnsi"/>
                <w:color w:val="002060"/>
                <w:sz w:val="24"/>
                <w:szCs w:val="24"/>
              </w:rPr>
            </w:pPr>
            <w:r w:rsidRPr="00FC35B8">
              <w:rPr>
                <w:rFonts w:cstheme="minorHAnsi"/>
                <w:color w:val="002060"/>
              </w:rPr>
              <w:t>- Chaque salle de classe est organisée de manière à respect</w:t>
            </w:r>
            <w:r w:rsidR="00704F09">
              <w:rPr>
                <w:rFonts w:cstheme="minorHAnsi"/>
                <w:color w:val="002060"/>
              </w:rPr>
              <w:t>er cette distance d’au moins un mètre.</w:t>
            </w:r>
          </w:p>
        </w:tc>
      </w:tr>
      <w:tr w:rsidR="00592189" w:rsidTr="001A5927">
        <w:trPr>
          <w:trHeight w:val="20"/>
        </w:trPr>
        <w:tc>
          <w:tcPr>
            <w:tcW w:w="1555" w:type="dxa"/>
            <w:vAlign w:val="center"/>
          </w:tcPr>
          <w:p w:rsidR="00592189" w:rsidRPr="00E206F0" w:rsidRDefault="00592189" w:rsidP="00E206F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592189" w:rsidRPr="00E206F0" w:rsidRDefault="00592189" w:rsidP="00E206F0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FC35B8" w:rsidTr="001A5927">
        <w:trPr>
          <w:trHeight w:val="1701"/>
        </w:trPr>
        <w:tc>
          <w:tcPr>
            <w:tcW w:w="1555" w:type="dxa"/>
            <w:vAlign w:val="center"/>
          </w:tcPr>
          <w:p w:rsidR="005D456B" w:rsidRDefault="00FC35B8" w:rsidP="001A5927">
            <w:pPr>
              <w:spacing w:line="360" w:lineRule="auto"/>
              <w:jc w:val="center"/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</w:pPr>
            <w:r>
              <w:rPr>
                <w:rFonts w:cs="Calibri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28AE0354" wp14:editId="36C285EF">
                  <wp:extent cx="900000" cy="406800"/>
                  <wp:effectExtent l="0" t="0" r="0" b="0"/>
                  <wp:docPr id="12" name="Image 12" descr="C:\Users\Circo\Documents\CIRCO BGD\Favorites\Desktop\Cap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Documents\CIRCO BGD\Favorites\Desktop\Cap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927" w:rsidRPr="001A5927" w:rsidRDefault="001A5927" w:rsidP="001A5927">
            <w:pPr>
              <w:jc w:val="center"/>
              <w:rPr>
                <w:rFonts w:cstheme="minorHAnsi"/>
                <w:noProof/>
                <w:color w:val="FF0000"/>
                <w:lang w:eastAsia="fr-FR"/>
              </w:rPr>
            </w:pPr>
          </w:p>
          <w:p w:rsidR="007C3CEE" w:rsidRDefault="007C3CEE" w:rsidP="001A5927">
            <w:pPr>
              <w:jc w:val="center"/>
              <w:rPr>
                <w:rFonts w:cstheme="minorHAnsi"/>
                <w:noProof/>
                <w:color w:val="FF0000"/>
                <w:lang w:eastAsia="fr-FR"/>
              </w:rPr>
            </w:pPr>
            <w:r w:rsidRPr="001A5927">
              <w:rPr>
                <w:rFonts w:cstheme="minorHAnsi"/>
                <w:noProof/>
                <w:color w:val="FF0000"/>
                <w:lang w:eastAsia="fr-FR"/>
              </w:rPr>
              <w:drawing>
                <wp:inline distT="0" distB="0" distL="0" distR="0">
                  <wp:extent cx="720000" cy="720000"/>
                  <wp:effectExtent l="0" t="0" r="4445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e-laver-les-mains_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27" w:rsidRDefault="001A5927" w:rsidP="001A5927">
            <w:pPr>
              <w:jc w:val="center"/>
              <w:rPr>
                <w:rFonts w:cstheme="minorHAnsi"/>
                <w:noProof/>
                <w:color w:val="FF0000"/>
                <w:lang w:eastAsia="fr-FR"/>
              </w:rPr>
            </w:pPr>
          </w:p>
          <w:p w:rsidR="001A5927" w:rsidRPr="001A5927" w:rsidRDefault="001A5927" w:rsidP="001A5927">
            <w:pPr>
              <w:jc w:val="center"/>
              <w:rPr>
                <w:rFonts w:cstheme="minorHAnsi"/>
                <w:noProof/>
                <w:color w:val="FF0000"/>
                <w:lang w:eastAsia="fr-FR"/>
              </w:rPr>
            </w:pPr>
          </w:p>
          <w:p w:rsidR="00AD4A91" w:rsidRDefault="00AD4A91" w:rsidP="001A5927">
            <w:pPr>
              <w:jc w:val="center"/>
              <w:rPr>
                <w:rFonts w:cstheme="minorHAnsi"/>
                <w:noProof/>
                <w:color w:val="FF0000"/>
                <w:lang w:eastAsia="fr-FR"/>
              </w:rPr>
            </w:pPr>
            <w:r w:rsidRPr="001A5927">
              <w:rPr>
                <w:rFonts w:cstheme="minorHAnsi"/>
                <w:noProof/>
                <w:color w:val="FF0000"/>
                <w:lang w:eastAsia="fr-FR"/>
              </w:rPr>
              <w:drawing>
                <wp:inline distT="0" distB="0" distL="0" distR="0" wp14:anchorId="0E70196B" wp14:editId="7D8BE80C">
                  <wp:extent cx="698400" cy="720000"/>
                  <wp:effectExtent l="0" t="0" r="698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nneau-masque-respiratoire-m016-autocollant-a4_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927" w:rsidRDefault="001A5927" w:rsidP="001A5927">
            <w:pPr>
              <w:jc w:val="center"/>
              <w:rPr>
                <w:rFonts w:cstheme="minorHAnsi"/>
                <w:noProof/>
                <w:color w:val="FF0000"/>
                <w:lang w:eastAsia="fr-FR"/>
              </w:rPr>
            </w:pPr>
          </w:p>
          <w:p w:rsidR="001A5927" w:rsidRPr="001A5927" w:rsidRDefault="001A5927" w:rsidP="001A5927">
            <w:pPr>
              <w:jc w:val="center"/>
              <w:rPr>
                <w:rFonts w:cstheme="minorHAnsi"/>
                <w:noProof/>
                <w:color w:val="FF0000"/>
                <w:lang w:eastAsia="fr-FR"/>
              </w:rPr>
            </w:pPr>
          </w:p>
          <w:p w:rsidR="00A41893" w:rsidRDefault="00A41893" w:rsidP="00FC35B8">
            <w:pPr>
              <w:jc w:val="center"/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</w:pPr>
            <w:r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66E1A42D" wp14:editId="796445F5">
                  <wp:extent cx="720000" cy="615600"/>
                  <wp:effectExtent l="0" t="0" r="444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ueftu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vAlign w:val="center"/>
          </w:tcPr>
          <w:p w:rsidR="00FC35B8" w:rsidRPr="00FC35B8" w:rsidRDefault="00FC35B8" w:rsidP="001A5927">
            <w:pPr>
              <w:spacing w:line="276" w:lineRule="auto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FC35B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sym w:font="Wingdings" w:char="F0FC"/>
            </w:r>
            <w:r w:rsidRPr="00FC35B8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L’application des gestes barrière</w:t>
            </w:r>
          </w:p>
          <w:p w:rsidR="00FC35B8" w:rsidRDefault="00FC35B8" w:rsidP="001A5927">
            <w:pPr>
              <w:spacing w:line="276" w:lineRule="auto"/>
              <w:jc w:val="both"/>
              <w:rPr>
                <w:color w:val="002060"/>
              </w:rPr>
            </w:pPr>
            <w:r w:rsidRPr="005D456B">
              <w:rPr>
                <w:rFonts w:cs="Calibri"/>
                <w:color w:val="002060"/>
              </w:rPr>
              <w:t>Les gestes barrière doivent être appliqués en permanence, partout et par tout le monde.</w:t>
            </w:r>
            <w:r w:rsidR="005D456B" w:rsidRPr="005D456B">
              <w:rPr>
                <w:color w:val="002060"/>
              </w:rPr>
              <w:t xml:space="preserve"> Ce sont les mesures de prévention individuelles les plus efficaces, à l’heure actuelle, contre la propagation du virus.</w:t>
            </w:r>
          </w:p>
          <w:p w:rsidR="00FC35B8" w:rsidRDefault="00FC35B8" w:rsidP="001A5927">
            <w:pPr>
              <w:spacing w:line="276" w:lineRule="auto"/>
              <w:jc w:val="both"/>
              <w:rPr>
                <w:i/>
                <w:color w:val="002060"/>
              </w:rPr>
            </w:pPr>
            <w:r w:rsidRPr="007C3CEE">
              <w:rPr>
                <w:color w:val="002060"/>
              </w:rPr>
              <w:t xml:space="preserve">- </w:t>
            </w:r>
            <w:r w:rsidRPr="007C3CEE">
              <w:rPr>
                <w:b/>
                <w:color w:val="002060"/>
              </w:rPr>
              <w:t>Le lavage des mains</w:t>
            </w:r>
            <w:r w:rsidR="007C3CEE" w:rsidRPr="007C3CEE">
              <w:rPr>
                <w:color w:val="002060"/>
              </w:rPr>
              <w:t> est réalisé </w:t>
            </w:r>
            <w:r w:rsidR="00AD4A91">
              <w:rPr>
                <w:color w:val="002060"/>
              </w:rPr>
              <w:t xml:space="preserve">plusieurs fois dans la journée </w:t>
            </w:r>
            <w:r w:rsidR="007C3CEE" w:rsidRPr="007C3CEE">
              <w:rPr>
                <w:color w:val="002060"/>
              </w:rPr>
              <w:t xml:space="preserve">: </w:t>
            </w:r>
            <w:r w:rsidR="007C3CEE" w:rsidRPr="007C3CEE">
              <w:rPr>
                <w:i/>
                <w:color w:val="002060"/>
              </w:rPr>
              <w:t>à l’arrivée dans l’école, après chaque récréation, avant et après chaque repas,</w:t>
            </w:r>
            <w:r w:rsidR="007C3CEE">
              <w:rPr>
                <w:i/>
                <w:color w:val="002060"/>
              </w:rPr>
              <w:t xml:space="preserve"> au passage aux toilettes (avant et après),</w:t>
            </w:r>
            <w:r w:rsidR="007C3CEE" w:rsidRPr="007C3CEE">
              <w:rPr>
                <w:i/>
                <w:color w:val="002060"/>
              </w:rPr>
              <w:t xml:space="preserve"> le soir avant de rentrée chez soi et dès l’arrivée à la maison.</w:t>
            </w:r>
          </w:p>
          <w:p w:rsidR="007C3CEE" w:rsidRPr="00AD4A91" w:rsidRDefault="007C3CEE" w:rsidP="001A5927">
            <w:pPr>
              <w:spacing w:line="276" w:lineRule="auto"/>
              <w:jc w:val="both"/>
              <w:rPr>
                <w:color w:val="002060"/>
              </w:rPr>
            </w:pPr>
            <w:r w:rsidRPr="00AD4A91">
              <w:rPr>
                <w:color w:val="002060"/>
              </w:rPr>
              <w:t>Les échanges manuels de ballons, jouets, crayons</w:t>
            </w:r>
            <w:r w:rsidR="00AD4A91" w:rsidRPr="00AD4A91">
              <w:rPr>
                <w:color w:val="002060"/>
              </w:rPr>
              <w:t xml:space="preserve">… seront évités ou accompagnés de </w:t>
            </w:r>
            <w:r w:rsidR="00AD4A91" w:rsidRPr="00A41893">
              <w:rPr>
                <w:color w:val="002060"/>
              </w:rPr>
              <w:t>modalités</w:t>
            </w:r>
            <w:r w:rsidR="00AD4A91" w:rsidRPr="00AD4A91">
              <w:rPr>
                <w:color w:val="002060"/>
              </w:rPr>
              <w:t xml:space="preserve"> de désinfection après chaque utilisation.</w:t>
            </w:r>
          </w:p>
          <w:p w:rsidR="00AD4A91" w:rsidRDefault="00AD4A91" w:rsidP="001A5927">
            <w:pPr>
              <w:spacing w:line="276" w:lineRule="auto"/>
              <w:jc w:val="both"/>
              <w:rPr>
                <w:i/>
                <w:color w:val="FFFF00"/>
              </w:rPr>
            </w:pPr>
            <w:r w:rsidRPr="00AD4A91">
              <w:rPr>
                <w:color w:val="002060"/>
              </w:rPr>
              <w:t>Le transfert d’objets ou de matériel entre la maison et l’école est limité au strict nécessaire</w:t>
            </w:r>
            <w:r>
              <w:rPr>
                <w:i/>
                <w:color w:val="002060"/>
              </w:rPr>
              <w:t xml:space="preserve"> </w:t>
            </w:r>
            <w:r w:rsidRPr="00AD4A91">
              <w:rPr>
                <w:i/>
                <w:color w:val="002060"/>
                <w:highlight w:val="yellow"/>
              </w:rPr>
              <w:t>(cartable, casquette…).</w:t>
            </w:r>
            <w:r>
              <w:rPr>
                <w:i/>
                <w:color w:val="002060"/>
              </w:rPr>
              <w:t xml:space="preserve"> </w:t>
            </w:r>
            <w:r w:rsidRPr="00AD4A91">
              <w:rPr>
                <w:i/>
                <w:color w:val="FFFF00"/>
              </w:rPr>
              <w:t>A compléter par les équipes enseignantes après concertation</w:t>
            </w:r>
          </w:p>
          <w:p w:rsidR="00FC35B8" w:rsidRDefault="00FC35B8" w:rsidP="001A5927">
            <w:pPr>
              <w:spacing w:line="276" w:lineRule="auto"/>
              <w:jc w:val="both"/>
              <w:rPr>
                <w:color w:val="002060"/>
              </w:rPr>
            </w:pPr>
            <w:r w:rsidRPr="00FC35B8">
              <w:rPr>
                <w:b/>
                <w:color w:val="002060"/>
              </w:rPr>
              <w:t>- Le port du masque</w:t>
            </w:r>
            <w:r w:rsidR="00A41893">
              <w:rPr>
                <w:b/>
                <w:color w:val="002060"/>
              </w:rPr>
              <w:t> </w:t>
            </w:r>
            <w:r w:rsidR="00C92080" w:rsidRPr="00C92080">
              <w:rPr>
                <w:color w:val="002060"/>
              </w:rPr>
              <w:t xml:space="preserve">sera </w:t>
            </w:r>
            <w:r w:rsidR="00A41893">
              <w:rPr>
                <w:color w:val="002060"/>
              </w:rPr>
              <w:t xml:space="preserve">recommandé </w:t>
            </w:r>
            <w:r w:rsidR="00C92080" w:rsidRPr="00C92080">
              <w:rPr>
                <w:color w:val="002060"/>
              </w:rPr>
              <w:t>par tout personnel en</w:t>
            </w:r>
            <w:r w:rsidR="00C92080">
              <w:rPr>
                <w:color w:val="002060"/>
              </w:rPr>
              <w:t xml:space="preserve"> contact direct avec les élèves. Il est déconseillé pour les enfants de maternelle et facultatif pour les enfants de l’</w:t>
            </w:r>
            <w:r w:rsidR="00E206F0">
              <w:rPr>
                <w:color w:val="002060"/>
              </w:rPr>
              <w:t xml:space="preserve">élémentaire </w:t>
            </w:r>
            <w:r w:rsidR="00E206F0" w:rsidRPr="00F2085D">
              <w:rPr>
                <w:color w:val="002060"/>
              </w:rPr>
              <w:t>(à fournir par les familles).</w:t>
            </w:r>
            <w:r w:rsidR="00E206F0">
              <w:rPr>
                <w:color w:val="002060"/>
              </w:rPr>
              <w:t xml:space="preserve"> </w:t>
            </w:r>
          </w:p>
          <w:p w:rsidR="00E206F0" w:rsidRPr="00C92080" w:rsidRDefault="00E206F0" w:rsidP="001A5927">
            <w:pPr>
              <w:spacing w:line="276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- </w:t>
            </w:r>
            <w:r w:rsidRPr="00A41893">
              <w:rPr>
                <w:b/>
                <w:color w:val="002060"/>
              </w:rPr>
              <w:t>La ventilation des classes</w:t>
            </w:r>
            <w:r>
              <w:rPr>
                <w:color w:val="002060"/>
              </w:rPr>
              <w:t xml:space="preserve"> </w:t>
            </w:r>
            <w:r w:rsidRPr="00A41893">
              <w:rPr>
                <w:b/>
                <w:color w:val="002060"/>
              </w:rPr>
              <w:t>et autres locaux</w:t>
            </w:r>
            <w:r w:rsidR="00A41893">
              <w:rPr>
                <w:color w:val="002060"/>
              </w:rPr>
              <w:t xml:space="preserve"> sera fréquemment réalisée d’une durée d’au moins 10 minutes pour chaque aération à différents moments de la journée : </w:t>
            </w:r>
            <w:r w:rsidR="00A41893" w:rsidRPr="00A41893">
              <w:rPr>
                <w:i/>
                <w:color w:val="002060"/>
              </w:rPr>
              <w:t>le matin avant l’arrivée des élèves, pendant chaque récréation, au moment du déjeuner et le soir pendant le nettoyage des locaux.</w:t>
            </w:r>
          </w:p>
        </w:tc>
      </w:tr>
    </w:tbl>
    <w:p w:rsidR="001A5927" w:rsidRDefault="001A5927">
      <w:r>
        <w:br w:type="page"/>
      </w: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8417"/>
      </w:tblGrid>
      <w:tr w:rsidR="003A4400" w:rsidTr="00CE0C1E">
        <w:trPr>
          <w:trHeight w:val="20"/>
        </w:trPr>
        <w:tc>
          <w:tcPr>
            <w:tcW w:w="10343" w:type="dxa"/>
            <w:gridSpan w:val="2"/>
            <w:vAlign w:val="center"/>
          </w:tcPr>
          <w:p w:rsidR="003A4400" w:rsidRPr="00E206F0" w:rsidRDefault="003A4400" w:rsidP="006B2981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D456B" w:rsidTr="00CE0C1E">
        <w:trPr>
          <w:trHeight w:val="4536"/>
        </w:trPr>
        <w:tc>
          <w:tcPr>
            <w:tcW w:w="1926" w:type="dxa"/>
            <w:vAlign w:val="center"/>
          </w:tcPr>
          <w:p w:rsidR="005D456B" w:rsidRDefault="005D456B" w:rsidP="00AD4A91">
            <w:pPr>
              <w:spacing w:line="360" w:lineRule="auto"/>
              <w:jc w:val="center"/>
              <w:rPr>
                <w:rFonts w:cs="Calibri"/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532B8E65" wp14:editId="4902A27D">
                  <wp:extent cx="1080000" cy="950400"/>
                  <wp:effectExtent l="0" t="0" r="635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ance_road_sign_A13a.sv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  <w:vAlign w:val="center"/>
          </w:tcPr>
          <w:p w:rsidR="005D456B" w:rsidRPr="00A41893" w:rsidRDefault="005D456B" w:rsidP="00FC35B8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A4189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sym w:font="Wingdings" w:char="F0FC"/>
            </w:r>
            <w:r w:rsidRPr="00A4189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La limitation du brassage des élèves</w:t>
            </w:r>
          </w:p>
          <w:p w:rsidR="005D456B" w:rsidRPr="006B2981" w:rsidRDefault="005D456B" w:rsidP="009358F9">
            <w:pPr>
              <w:pStyle w:val="Default"/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14:ligatures w14:val="none"/>
              </w:rPr>
            </w:pPr>
            <w:r w:rsidRPr="006B2981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14:ligatures w14:val="none"/>
              </w:rPr>
              <w:t>- L’école a défini, avant leur réouverture, l’organisation de la journée et des activités scolaires de manière à intégrer cette contrainte.</w:t>
            </w:r>
            <w:r>
              <w:rPr>
                <w:rFonts w:cstheme="minorHAnsi"/>
                <w:color w:val="1F3864" w:themeColor="accent5" w:themeShade="80"/>
              </w:rPr>
              <w:t xml:space="preserve"> </w:t>
            </w:r>
            <w:r w:rsidRPr="006B2981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14:ligatures w14:val="none"/>
              </w:rPr>
              <w:t>L’objectif est de limiter les croisements entre élèves de classes différ</w:t>
            </w: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14:ligatures w14:val="none"/>
              </w:rPr>
              <w:t>entes ou de niveaux différents.</w:t>
            </w:r>
          </w:p>
          <w:p w:rsidR="005D456B" w:rsidRPr="006B2981" w:rsidRDefault="005D456B" w:rsidP="009358F9">
            <w:pPr>
              <w:pStyle w:val="Default"/>
              <w:jc w:val="both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14:ligatures w14:val="none"/>
              </w:rPr>
            </w:pPr>
            <w:r w:rsidRPr="006B2981">
              <w:rPr>
                <w:rFonts w:asciiTheme="minorHAnsi" w:hAnsiTheme="minorHAnsi" w:cstheme="minorHAnsi"/>
                <w:b/>
                <w:bCs/>
                <w:color w:val="1F3864" w:themeColor="accent5" w:themeShade="80"/>
                <w:sz w:val="22"/>
                <w:szCs w:val="22"/>
                <w14:ligatures w14:val="none"/>
              </w:rPr>
              <w:t xml:space="preserve">- L’arrivée et le départ de l’école </w:t>
            </w:r>
            <w:r w:rsidRPr="006B2981"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14:ligatures w14:val="none"/>
              </w:rPr>
              <w:t>seront étalés dans le temps comme suit :</w:t>
            </w:r>
          </w:p>
          <w:p w:rsidR="005D456B" w:rsidRDefault="005D456B" w:rsidP="006B2981">
            <w:pPr>
              <w:pStyle w:val="Default"/>
              <w:jc w:val="center"/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highlight w:val="yellow"/>
                <w14:ligatures w14:val="none"/>
              </w:rPr>
            </w:pPr>
            <w:r>
              <w:rPr>
                <w:rFonts w:asciiTheme="minorHAnsi" w:hAnsiTheme="minorHAnsi" w:cstheme="minorHAnsi"/>
                <w:color w:val="1F3864" w:themeColor="accent5" w:themeShade="80"/>
                <w:sz w:val="22"/>
                <w:szCs w:val="22"/>
                <w:highlight w:val="yellow"/>
                <w14:ligatures w14:val="none"/>
              </w:rPr>
              <w:t>A COMPLETER PAR CHAQUE ECOLE SELON LES MODALITES CHOISIES</w:t>
            </w:r>
          </w:p>
          <w:p w:rsidR="005D456B" w:rsidRDefault="005D456B" w:rsidP="006B2981">
            <w:pPr>
              <w:pStyle w:val="Default"/>
              <w:jc w:val="center"/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  <w14:ligatures w14:val="none"/>
              </w:rPr>
            </w:pPr>
            <w:r w:rsidRPr="006B2981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  <w:highlight w:val="yellow"/>
                <w14:ligatures w14:val="none"/>
              </w:rPr>
              <w:t>(</w:t>
            </w:r>
            <w:proofErr w:type="gramStart"/>
            <w:r w:rsidRPr="006B2981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  <w:highlight w:val="yellow"/>
                <w14:ligatures w14:val="none"/>
              </w:rPr>
              <w:t>transport</w:t>
            </w:r>
            <w:proofErr w:type="gramEnd"/>
            <w:r w:rsidRPr="006B2981">
              <w:rPr>
                <w:rFonts w:asciiTheme="minorHAnsi" w:hAnsiTheme="minorHAnsi" w:cstheme="minorHAnsi"/>
                <w:i/>
                <w:color w:val="1F3864" w:themeColor="accent5" w:themeShade="80"/>
                <w:sz w:val="22"/>
                <w:szCs w:val="22"/>
                <w:highlight w:val="yellow"/>
                <w14:ligatures w14:val="none"/>
              </w:rPr>
              <w:t>, élève en situation de handicap, horaires et niveaux correspondants)</w:t>
            </w:r>
          </w:p>
          <w:p w:rsidR="005D456B" w:rsidRDefault="005D456B" w:rsidP="00704F09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5D456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  <w:t>Par mesure de précaution, il est interdit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  <w:t xml:space="preserve"> aux parents et accompagnateurs</w:t>
            </w:r>
            <w:r w:rsidR="00704F0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  <w:t xml:space="preserve"> </w:t>
            </w:r>
            <w:r w:rsidRPr="005D456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  <w:t>d’entrer dans l’école.</w:t>
            </w:r>
          </w:p>
          <w:p w:rsidR="005D456B" w:rsidRPr="009358F9" w:rsidRDefault="005D456B" w:rsidP="005D456B">
            <w:pPr>
              <w:pStyle w:val="Default"/>
              <w:spacing w:line="240" w:lineRule="auto"/>
              <w:jc w:val="both"/>
              <w:rPr>
                <w:color w:val="1F3864" w:themeColor="accent5" w:themeShade="80"/>
                <w:sz w:val="22"/>
                <w:szCs w:val="22"/>
                <w14:ligatures w14:val="none"/>
              </w:rPr>
            </w:pPr>
            <w:r w:rsidRPr="009358F9">
              <w:rPr>
                <w:color w:val="1F3864" w:themeColor="accent5" w:themeShade="80"/>
                <w:sz w:val="22"/>
                <w:szCs w:val="22"/>
                <w14:ligatures w14:val="none"/>
              </w:rPr>
              <w:t xml:space="preserve">- </w:t>
            </w:r>
            <w:r w:rsidRPr="009358F9">
              <w:rPr>
                <w:b/>
                <w:bCs/>
                <w:color w:val="1F3864" w:themeColor="accent5" w:themeShade="80"/>
                <w:sz w:val="22"/>
                <w:szCs w:val="22"/>
                <w14:ligatures w14:val="none"/>
              </w:rPr>
              <w:t xml:space="preserve">Les intercours et la circulation hors temps de classe dans les bâtiments </w:t>
            </w:r>
            <w:r w:rsidRPr="009358F9">
              <w:rPr>
                <w:color w:val="1F3864" w:themeColor="accent5" w:themeShade="80"/>
                <w:sz w:val="22"/>
                <w:szCs w:val="22"/>
                <w14:ligatures w14:val="none"/>
              </w:rPr>
              <w:t>: les déplacements des élèves seront limités au strict nécessaire, organisés et encadrés.</w:t>
            </w:r>
          </w:p>
          <w:p w:rsidR="005D456B" w:rsidRPr="005D456B" w:rsidRDefault="005D456B" w:rsidP="005D45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14:ligatures w14:val="none"/>
              </w:rPr>
            </w:pPr>
            <w:r w:rsidRPr="009358F9">
              <w:rPr>
                <w:color w:val="1F3864" w:themeColor="accent5" w:themeShade="80"/>
              </w:rPr>
              <w:t xml:space="preserve">- </w:t>
            </w:r>
            <w:r w:rsidRPr="009358F9">
              <w:rPr>
                <w:b/>
                <w:bCs/>
                <w:color w:val="1F3864" w:themeColor="accent5" w:themeShade="80"/>
              </w:rPr>
              <w:t xml:space="preserve">Les récréations </w:t>
            </w:r>
            <w:r w:rsidRPr="009358F9">
              <w:rPr>
                <w:color w:val="1F3864" w:themeColor="accent5" w:themeShade="80"/>
              </w:rPr>
              <w:t xml:space="preserve">seront organisées par groupes de classes, en tenant compte des recommandations relatives à la distanciation et aux gestes barrière. </w:t>
            </w:r>
            <w:r w:rsidRPr="009358F9">
              <w:rPr>
                <w:color w:val="1F3864" w:themeColor="accent5" w:themeShade="80"/>
                <w:highlight w:val="yellow"/>
              </w:rPr>
              <w:t>Elles peuvent être remplacées par des temps de pause en classe à la fin du cours.</w:t>
            </w:r>
            <w:r w:rsidRPr="009358F9">
              <w:rPr>
                <w:color w:val="1F3864" w:themeColor="accent5" w:themeShade="80"/>
              </w:rPr>
              <w:t xml:space="preserve"> </w:t>
            </w:r>
            <w:r w:rsidRPr="009358F9">
              <w:rPr>
                <w:i/>
                <w:color w:val="FFFF00"/>
              </w:rPr>
              <w:t>(à définir en équipe)</w:t>
            </w:r>
          </w:p>
        </w:tc>
      </w:tr>
      <w:tr w:rsidR="0073158D" w:rsidTr="00CE0C1E">
        <w:trPr>
          <w:trHeight w:val="20"/>
        </w:trPr>
        <w:tc>
          <w:tcPr>
            <w:tcW w:w="1926" w:type="dxa"/>
            <w:vAlign w:val="center"/>
          </w:tcPr>
          <w:p w:rsidR="0073158D" w:rsidRPr="0073158D" w:rsidRDefault="0073158D" w:rsidP="0073158D">
            <w:pPr>
              <w:jc w:val="center"/>
              <w:rPr>
                <w:rFonts w:cstheme="minorHAnsi"/>
                <w:noProof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8417" w:type="dxa"/>
            <w:vAlign w:val="center"/>
          </w:tcPr>
          <w:p w:rsidR="0073158D" w:rsidRPr="0073158D" w:rsidRDefault="0073158D" w:rsidP="0073158D">
            <w:pPr>
              <w:pStyle w:val="Default"/>
              <w:spacing w:line="240" w:lineRule="auto"/>
              <w:jc w:val="both"/>
              <w:rPr>
                <w:color w:val="1F3864" w:themeColor="accent5" w:themeShade="80"/>
                <w:sz w:val="16"/>
                <w:szCs w:val="16"/>
                <w14:ligatures w14:val="none"/>
              </w:rPr>
            </w:pPr>
          </w:p>
        </w:tc>
      </w:tr>
      <w:tr w:rsidR="00A41893" w:rsidTr="00592189">
        <w:trPr>
          <w:trHeight w:val="284"/>
        </w:trPr>
        <w:tc>
          <w:tcPr>
            <w:tcW w:w="1926" w:type="dxa"/>
            <w:vAlign w:val="center"/>
          </w:tcPr>
          <w:p w:rsidR="00A41893" w:rsidRDefault="00F92573" w:rsidP="00AD4A91">
            <w:pPr>
              <w:spacing w:line="360" w:lineRule="auto"/>
              <w:jc w:val="center"/>
              <w:rPr>
                <w:rFonts w:cs="Calibri"/>
                <w:noProof/>
                <w:color w:val="002060"/>
                <w:sz w:val="24"/>
                <w:szCs w:val="24"/>
                <w:lang w:eastAsia="fr-FR"/>
              </w:rPr>
            </w:pPr>
            <w:r>
              <w:rPr>
                <w:rFonts w:cstheme="minorHAnsi"/>
                <w:b/>
                <w:noProof/>
                <w:color w:val="FF0000"/>
                <w:sz w:val="32"/>
                <w:szCs w:val="32"/>
                <w:lang w:eastAsia="fr-FR"/>
              </w:rPr>
              <w:drawing>
                <wp:inline distT="0" distB="0" distL="0" distR="0" wp14:anchorId="73C9B68C" wp14:editId="1C6D0C07">
                  <wp:extent cx="1080000" cy="1108800"/>
                  <wp:effectExtent l="0" t="0" r="635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ception-de-logo-d-entreprise-de-services-de-nettoyage-concept-écologique-pour-l-intérieur-maison-et-bâtiment-8008856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  <w:vAlign w:val="center"/>
          </w:tcPr>
          <w:p w:rsidR="00A41893" w:rsidRDefault="00A41893" w:rsidP="00FC35B8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A4189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sym w:font="Wingdings" w:char="F0FC"/>
            </w:r>
            <w:r w:rsidR="007A6674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Pr="00A4189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Le nettoyage et la désinfection des locaux et matériels</w:t>
            </w:r>
          </w:p>
          <w:p w:rsidR="00F2085D" w:rsidRPr="0073158D" w:rsidRDefault="00F2085D" w:rsidP="0073158D">
            <w:pPr>
              <w:widowControl w:val="0"/>
              <w:jc w:val="both"/>
              <w:rPr>
                <w:color w:val="002060"/>
              </w:rPr>
            </w:pPr>
            <w:r w:rsidRPr="0073158D">
              <w:rPr>
                <w:color w:val="002060"/>
              </w:rPr>
              <w:t xml:space="preserve">- Le nettoyage et la désinfection des locaux et des équipements sont une composante essentielle de la lutte </w:t>
            </w:r>
            <w:r w:rsidR="0073158D">
              <w:rPr>
                <w:color w:val="002060"/>
              </w:rPr>
              <w:t xml:space="preserve">contre la propagation du virus. </w:t>
            </w:r>
            <w:r w:rsidRPr="0073158D">
              <w:rPr>
                <w:color w:val="002060"/>
              </w:rPr>
              <w:t>Un protocole de nettoyage et</w:t>
            </w:r>
            <w:r w:rsidR="0073158D">
              <w:rPr>
                <w:color w:val="002060"/>
              </w:rPr>
              <w:t xml:space="preserve"> de </w:t>
            </w:r>
            <w:r w:rsidRPr="0073158D">
              <w:rPr>
                <w:color w:val="002060"/>
              </w:rPr>
              <w:t xml:space="preserve">désinfection des locaux et matériels est défini avec la municipalité. </w:t>
            </w:r>
          </w:p>
          <w:p w:rsidR="00F2085D" w:rsidRDefault="00F2085D" w:rsidP="00F2085D">
            <w:pPr>
              <w:widowControl w:val="0"/>
            </w:pPr>
            <w:r w:rsidRPr="0073158D">
              <w:rPr>
                <w:color w:val="002060"/>
              </w:rPr>
              <w:t xml:space="preserve">- Le nettoyage et la désinfection des sols pour tous les espaces utilisés ou de passage, sont réalisés </w:t>
            </w:r>
            <w:r>
              <w:rPr>
                <w:color w:val="FFFF00"/>
              </w:rPr>
              <w:t xml:space="preserve">une </w:t>
            </w:r>
            <w:r w:rsidRPr="0073158D">
              <w:rPr>
                <w:color w:val="002060"/>
              </w:rPr>
              <w:t xml:space="preserve">fois par jour. </w:t>
            </w:r>
            <w:r w:rsidR="00F92573">
              <w:rPr>
                <w:i/>
                <w:color w:val="FFFF00"/>
              </w:rPr>
              <w:t>(</w:t>
            </w:r>
            <w:proofErr w:type="gramStart"/>
            <w:r w:rsidR="00F92573">
              <w:rPr>
                <w:i/>
                <w:color w:val="FFFF00"/>
              </w:rPr>
              <w:t>à</w:t>
            </w:r>
            <w:proofErr w:type="gramEnd"/>
            <w:r w:rsidR="00F92573">
              <w:rPr>
                <w:i/>
                <w:color w:val="FFFF00"/>
              </w:rPr>
              <w:t xml:space="preserve"> définir en équipe et la municipalité)</w:t>
            </w:r>
          </w:p>
          <w:p w:rsidR="00F2085D" w:rsidRPr="0073158D" w:rsidRDefault="0073158D" w:rsidP="00F2085D">
            <w:pPr>
              <w:widowControl w:val="0"/>
              <w:rPr>
                <w:rFonts w:ascii="Wingdings" w:hAnsi="Wingdings"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- </w:t>
            </w:r>
            <w:r w:rsidR="00F2085D" w:rsidRPr="0073158D">
              <w:rPr>
                <w:b/>
                <w:bCs/>
                <w:color w:val="002060"/>
              </w:rPr>
              <w:t>Dispositions spécifiques :</w:t>
            </w:r>
          </w:p>
          <w:p w:rsidR="00F2085D" w:rsidRPr="0073158D" w:rsidRDefault="0073158D" w:rsidP="0073158D">
            <w:pPr>
              <w:widowControl w:val="0"/>
              <w:jc w:val="both"/>
              <w:rPr>
                <w:rFonts w:ascii="Calibri" w:hAnsi="Calibri"/>
                <w:color w:val="002060"/>
              </w:rPr>
            </w:pPr>
            <w:r>
              <w:rPr>
                <w:rFonts w:ascii="Wingdings" w:hAnsi="Wingdings"/>
                <w:color w:val="002060"/>
              </w:rPr>
              <w:sym w:font="Wingdings" w:char="F0C4"/>
            </w:r>
            <w:r>
              <w:rPr>
                <w:rFonts w:ascii="Wingdings" w:hAnsi="Wingdings"/>
                <w:color w:val="002060"/>
              </w:rPr>
              <w:t></w:t>
            </w:r>
            <w:r w:rsidR="00F2085D" w:rsidRPr="0073158D">
              <w:rPr>
                <w:color w:val="002060"/>
              </w:rPr>
              <w:t xml:space="preserve">Si un matériel doit être transféré d’un élève à un autre élève, </w:t>
            </w:r>
            <w:r w:rsidR="004C402A">
              <w:rPr>
                <w:color w:val="002060"/>
              </w:rPr>
              <w:t xml:space="preserve">il sera nettoyé </w:t>
            </w:r>
            <w:r w:rsidR="00F2085D" w:rsidRPr="0073158D">
              <w:rPr>
                <w:color w:val="002060"/>
              </w:rPr>
              <w:t xml:space="preserve">à l’aide d’une lingette </w:t>
            </w:r>
            <w:r w:rsidR="004C402A">
              <w:rPr>
                <w:color w:val="002060"/>
              </w:rPr>
              <w:t>ou d’une solution désinfectante.</w:t>
            </w:r>
          </w:p>
          <w:p w:rsidR="00F2085D" w:rsidRPr="0073158D" w:rsidRDefault="0073158D" w:rsidP="0073158D">
            <w:pPr>
              <w:widowControl w:val="0"/>
              <w:jc w:val="both"/>
              <w:rPr>
                <w:color w:val="002060"/>
              </w:rPr>
            </w:pPr>
            <w:r>
              <w:rPr>
                <w:rFonts w:ascii="Wingdings" w:hAnsi="Wingdings"/>
                <w:color w:val="002060"/>
              </w:rPr>
              <w:sym w:font="Wingdings" w:char="F0C4"/>
            </w:r>
            <w:r>
              <w:rPr>
                <w:rFonts w:ascii="Wingdings" w:hAnsi="Wingdings"/>
                <w:color w:val="002060"/>
              </w:rPr>
              <w:t></w:t>
            </w:r>
            <w:r w:rsidR="004C402A">
              <w:rPr>
                <w:color w:val="002060"/>
              </w:rPr>
              <w:t>L</w:t>
            </w:r>
            <w:r>
              <w:rPr>
                <w:color w:val="002060"/>
              </w:rPr>
              <w:t xml:space="preserve">e linge </w:t>
            </w:r>
            <w:r w:rsidR="004C402A">
              <w:rPr>
                <w:color w:val="002060"/>
              </w:rPr>
              <w:t xml:space="preserve">utilisé sera changé </w:t>
            </w:r>
            <w:r>
              <w:rPr>
                <w:color w:val="002060"/>
              </w:rPr>
              <w:t>dès que nécessaire</w:t>
            </w:r>
            <w:r w:rsidR="004C402A">
              <w:rPr>
                <w:color w:val="002060"/>
              </w:rPr>
              <w:t>, notamment en école maternelle.</w:t>
            </w:r>
          </w:p>
          <w:p w:rsidR="00F2085D" w:rsidRPr="0073158D" w:rsidRDefault="0073158D" w:rsidP="004C402A">
            <w:pPr>
              <w:widowControl w:val="0"/>
              <w:jc w:val="both"/>
              <w:rPr>
                <w:color w:val="002060"/>
              </w:rPr>
            </w:pPr>
            <w:r>
              <w:rPr>
                <w:rFonts w:ascii="Wingdings" w:hAnsi="Wingdings"/>
                <w:color w:val="002060"/>
              </w:rPr>
              <w:sym w:font="Wingdings" w:char="F0C4"/>
            </w:r>
            <w:r w:rsidR="00F2085D" w:rsidRPr="0073158D">
              <w:rPr>
                <w:rFonts w:ascii="Wingdings" w:hAnsi="Wingdings"/>
                <w:color w:val="002060"/>
              </w:rPr>
              <w:t></w:t>
            </w:r>
            <w:r w:rsidR="004C402A">
              <w:rPr>
                <w:color w:val="002060"/>
              </w:rPr>
              <w:t>L</w:t>
            </w:r>
            <w:r w:rsidR="00F2085D" w:rsidRPr="0073158D">
              <w:rPr>
                <w:color w:val="002060"/>
              </w:rPr>
              <w:t>es couvertures individuel</w:t>
            </w:r>
            <w:r w:rsidR="004C402A">
              <w:rPr>
                <w:color w:val="002060"/>
              </w:rPr>
              <w:t>les utilisées dans les dortoirs de la maternelle seront lavées</w:t>
            </w:r>
            <w:r w:rsidR="004C402A" w:rsidRPr="0073158D">
              <w:rPr>
                <w:color w:val="002060"/>
              </w:rPr>
              <w:t xml:space="preserve"> périodiquement</w:t>
            </w:r>
            <w:r>
              <w:rPr>
                <w:color w:val="002060"/>
              </w:rPr>
              <w:t>.</w:t>
            </w:r>
          </w:p>
        </w:tc>
      </w:tr>
      <w:tr w:rsidR="00F92573" w:rsidTr="00592189">
        <w:trPr>
          <w:trHeight w:val="20"/>
        </w:trPr>
        <w:tc>
          <w:tcPr>
            <w:tcW w:w="1926" w:type="dxa"/>
            <w:vAlign w:val="center"/>
          </w:tcPr>
          <w:p w:rsidR="00F92573" w:rsidRPr="00F92573" w:rsidRDefault="00F92573" w:rsidP="00F92573">
            <w:pPr>
              <w:jc w:val="center"/>
              <w:rPr>
                <w:rFonts w:ascii="Calibri" w:hAnsi="Calibri" w:cs="Calibri"/>
                <w:noProof/>
                <w:color w:val="FF0000"/>
                <w:sz w:val="16"/>
                <w:szCs w:val="16"/>
                <w:lang w:eastAsia="fr-FR"/>
              </w:rPr>
            </w:pPr>
          </w:p>
        </w:tc>
        <w:tc>
          <w:tcPr>
            <w:tcW w:w="8417" w:type="dxa"/>
            <w:vAlign w:val="center"/>
          </w:tcPr>
          <w:p w:rsidR="00F92573" w:rsidRPr="00F92573" w:rsidRDefault="00F92573" w:rsidP="00F92573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F92573" w:rsidTr="00592189">
        <w:trPr>
          <w:trHeight w:val="284"/>
        </w:trPr>
        <w:tc>
          <w:tcPr>
            <w:tcW w:w="1926" w:type="dxa"/>
            <w:vAlign w:val="center"/>
          </w:tcPr>
          <w:p w:rsidR="00F92573" w:rsidRDefault="00B74DAB" w:rsidP="00AD4A91">
            <w:pPr>
              <w:spacing w:line="360" w:lineRule="auto"/>
              <w:jc w:val="center"/>
              <w:rPr>
                <w:rFonts w:ascii="Calibri" w:hAnsi="Calibri" w:cs="Calibri"/>
                <w:b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1B3FC1E1" wp14:editId="77FD9BC4">
                  <wp:extent cx="720000" cy="648000"/>
                  <wp:effectExtent l="0" t="0" r="444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ndex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DAB" w:rsidRDefault="00B74DAB" w:rsidP="00AD4A91">
            <w:pPr>
              <w:spacing w:line="360" w:lineRule="auto"/>
              <w:jc w:val="center"/>
              <w:rPr>
                <w:rFonts w:ascii="Calibri" w:hAnsi="Calibri" w:cs="Calibri"/>
                <w:b/>
                <w:noProof/>
                <w:color w:val="FF0000"/>
                <w:sz w:val="24"/>
                <w:szCs w:val="24"/>
                <w:lang w:eastAsia="fr-FR"/>
              </w:rPr>
            </w:pPr>
            <w:r>
              <w:rPr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76B18177" wp14:editId="12C0A1CD">
                  <wp:extent cx="720000" cy="720000"/>
                  <wp:effectExtent l="0" t="0" r="4445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7" w:type="dxa"/>
          </w:tcPr>
          <w:p w:rsidR="00F92573" w:rsidRDefault="007A6674" w:rsidP="007A6674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A41893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sym w:font="Wingdings" w:char="F0FC"/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L’organisation des temps périscolaires</w:t>
            </w:r>
          </w:p>
          <w:p w:rsidR="007A6674" w:rsidRDefault="007A6674" w:rsidP="007A6674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- La garderie : </w:t>
            </w:r>
            <w:r>
              <w:rPr>
                <w:i/>
                <w:color w:val="FFFF00"/>
              </w:rPr>
              <w:t>(à définir avec la municipalité)</w:t>
            </w:r>
          </w:p>
          <w:p w:rsidR="00B74DAB" w:rsidRDefault="00B74DAB" w:rsidP="007A6674">
            <w:pPr>
              <w:rPr>
                <w:b/>
                <w:bCs/>
                <w:color w:val="002060"/>
              </w:rPr>
            </w:pPr>
          </w:p>
          <w:p w:rsidR="00B74DAB" w:rsidRDefault="00B74DAB" w:rsidP="007A6674">
            <w:pPr>
              <w:rPr>
                <w:b/>
                <w:bCs/>
                <w:color w:val="002060"/>
              </w:rPr>
            </w:pPr>
          </w:p>
          <w:p w:rsidR="00B74DAB" w:rsidRDefault="00B74DAB" w:rsidP="007A6674">
            <w:pPr>
              <w:rPr>
                <w:b/>
                <w:bCs/>
                <w:color w:val="002060"/>
              </w:rPr>
            </w:pPr>
          </w:p>
          <w:p w:rsidR="007A6674" w:rsidRPr="00A41893" w:rsidRDefault="007A6674" w:rsidP="007A6674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- La restauration scolaire : </w:t>
            </w:r>
            <w:r>
              <w:rPr>
                <w:i/>
                <w:color w:val="FFFF00"/>
              </w:rPr>
              <w:t>(à définir avec la municipalité)</w:t>
            </w:r>
          </w:p>
        </w:tc>
      </w:tr>
      <w:tr w:rsidR="0073158D" w:rsidTr="00592189">
        <w:trPr>
          <w:trHeight w:val="284"/>
        </w:trPr>
        <w:tc>
          <w:tcPr>
            <w:tcW w:w="1926" w:type="dxa"/>
            <w:vAlign w:val="center"/>
          </w:tcPr>
          <w:p w:rsidR="0073158D" w:rsidRDefault="0073158D" w:rsidP="00B74DAB">
            <w:pPr>
              <w:spacing w:line="360" w:lineRule="auto"/>
              <w:rPr>
                <w:rFonts w:cs="Calibri"/>
                <w:noProof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8417" w:type="dxa"/>
            <w:vAlign w:val="center"/>
          </w:tcPr>
          <w:p w:rsidR="0073158D" w:rsidRPr="00A41893" w:rsidRDefault="0073158D" w:rsidP="00FC35B8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</w:tbl>
    <w:p w:rsidR="00C81EEB" w:rsidRDefault="00C81EEB" w:rsidP="007B7BF0">
      <w:pPr>
        <w:spacing w:after="0" w:line="276" w:lineRule="auto"/>
        <w:jc w:val="center"/>
        <w:rPr>
          <w:color w:val="002060"/>
          <w:sz w:val="24"/>
          <w:szCs w:val="24"/>
        </w:rPr>
      </w:pPr>
    </w:p>
    <w:sectPr w:rsidR="00C81EEB" w:rsidSect="00592189">
      <w:footerReference w:type="default" r:id="rId2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B8" w:rsidRDefault="00CC52B8" w:rsidP="00850F25">
      <w:pPr>
        <w:spacing w:after="0" w:line="240" w:lineRule="auto"/>
      </w:pPr>
      <w:r>
        <w:separator/>
      </w:r>
    </w:p>
  </w:endnote>
  <w:endnote w:type="continuationSeparator" w:id="0">
    <w:p w:rsidR="00CC52B8" w:rsidRDefault="00CC52B8" w:rsidP="0085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89" w:rsidRPr="00CE0C1E" w:rsidRDefault="00592189" w:rsidP="00592189">
    <w:pPr>
      <w:pStyle w:val="Pieddepage"/>
      <w:jc w:val="right"/>
      <w:rPr>
        <w:i/>
        <w:color w:val="002060"/>
        <w:sz w:val="20"/>
        <w:szCs w:val="20"/>
      </w:rPr>
    </w:pPr>
    <w:r w:rsidRPr="00CE0C1E">
      <w:rPr>
        <w:i/>
        <w:color w:val="002060"/>
        <w:sz w:val="20"/>
        <w:szCs w:val="20"/>
      </w:rPr>
      <w:t>C. CHAPEL et M. PARRA, conseillers pédagogiques</w:t>
    </w:r>
  </w:p>
  <w:p w:rsidR="00592189" w:rsidRPr="00CE0C1E" w:rsidRDefault="00592189" w:rsidP="00592189">
    <w:pPr>
      <w:pStyle w:val="Pieddepage"/>
      <w:jc w:val="right"/>
      <w:rPr>
        <w:i/>
        <w:color w:val="002060"/>
        <w:sz w:val="20"/>
        <w:szCs w:val="20"/>
      </w:rPr>
    </w:pPr>
    <w:r w:rsidRPr="00CE0C1E">
      <w:rPr>
        <w:i/>
        <w:color w:val="002060"/>
        <w:sz w:val="20"/>
        <w:szCs w:val="20"/>
      </w:rPr>
      <w:t>IEN Bellegarde – MAI 2020</w:t>
    </w:r>
  </w:p>
  <w:p w:rsidR="00592189" w:rsidRPr="00CE0C1E" w:rsidRDefault="00592189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B8" w:rsidRDefault="00CC52B8" w:rsidP="00850F25">
      <w:pPr>
        <w:spacing w:after="0" w:line="240" w:lineRule="auto"/>
      </w:pPr>
      <w:r>
        <w:separator/>
      </w:r>
    </w:p>
  </w:footnote>
  <w:footnote w:type="continuationSeparator" w:id="0">
    <w:p w:rsidR="00CC52B8" w:rsidRDefault="00CC52B8" w:rsidP="0085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4D1"/>
    <w:multiLevelType w:val="hybridMultilevel"/>
    <w:tmpl w:val="EAF4522E"/>
    <w:lvl w:ilvl="0" w:tplc="4E96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5B76"/>
    <w:multiLevelType w:val="hybridMultilevel"/>
    <w:tmpl w:val="DFEC0144"/>
    <w:lvl w:ilvl="0" w:tplc="F238D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198B"/>
    <w:multiLevelType w:val="hybridMultilevel"/>
    <w:tmpl w:val="1A660AB0"/>
    <w:lvl w:ilvl="0" w:tplc="97A651F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DC"/>
    <w:rsid w:val="00014DDA"/>
    <w:rsid w:val="0003414C"/>
    <w:rsid w:val="00041727"/>
    <w:rsid w:val="00046045"/>
    <w:rsid w:val="00050E3B"/>
    <w:rsid w:val="00054943"/>
    <w:rsid w:val="00080714"/>
    <w:rsid w:val="000B0CF4"/>
    <w:rsid w:val="000B52F9"/>
    <w:rsid w:val="000B649F"/>
    <w:rsid w:val="000D2E4B"/>
    <w:rsid w:val="00100924"/>
    <w:rsid w:val="00100EFB"/>
    <w:rsid w:val="00102BD1"/>
    <w:rsid w:val="0010510A"/>
    <w:rsid w:val="0011248C"/>
    <w:rsid w:val="00123024"/>
    <w:rsid w:val="0012455F"/>
    <w:rsid w:val="00150980"/>
    <w:rsid w:val="001534AE"/>
    <w:rsid w:val="00174E23"/>
    <w:rsid w:val="001826DD"/>
    <w:rsid w:val="00186B60"/>
    <w:rsid w:val="00193A07"/>
    <w:rsid w:val="0019503E"/>
    <w:rsid w:val="001A02F5"/>
    <w:rsid w:val="001A5927"/>
    <w:rsid w:val="001C0C99"/>
    <w:rsid w:val="001E76C6"/>
    <w:rsid w:val="001F5C67"/>
    <w:rsid w:val="00244FF7"/>
    <w:rsid w:val="002659F9"/>
    <w:rsid w:val="00273A7C"/>
    <w:rsid w:val="00282F29"/>
    <w:rsid w:val="002912E4"/>
    <w:rsid w:val="002B1610"/>
    <w:rsid w:val="002C6ADC"/>
    <w:rsid w:val="002E68DE"/>
    <w:rsid w:val="002F5481"/>
    <w:rsid w:val="00302603"/>
    <w:rsid w:val="00303829"/>
    <w:rsid w:val="00316E97"/>
    <w:rsid w:val="00332FA1"/>
    <w:rsid w:val="00370671"/>
    <w:rsid w:val="003A4400"/>
    <w:rsid w:val="003A727B"/>
    <w:rsid w:val="00417B2C"/>
    <w:rsid w:val="004217FC"/>
    <w:rsid w:val="00424A35"/>
    <w:rsid w:val="004772CE"/>
    <w:rsid w:val="004812F6"/>
    <w:rsid w:val="00485649"/>
    <w:rsid w:val="00490DCA"/>
    <w:rsid w:val="00492020"/>
    <w:rsid w:val="0049256F"/>
    <w:rsid w:val="004C1411"/>
    <w:rsid w:val="004C402A"/>
    <w:rsid w:val="004D6C0C"/>
    <w:rsid w:val="004F112F"/>
    <w:rsid w:val="004F5ACB"/>
    <w:rsid w:val="00512C3F"/>
    <w:rsid w:val="00541F70"/>
    <w:rsid w:val="00555A24"/>
    <w:rsid w:val="0056164B"/>
    <w:rsid w:val="00574655"/>
    <w:rsid w:val="00592189"/>
    <w:rsid w:val="005A5D13"/>
    <w:rsid w:val="005B672B"/>
    <w:rsid w:val="005D456B"/>
    <w:rsid w:val="005D485B"/>
    <w:rsid w:val="005D66E8"/>
    <w:rsid w:val="005E4B91"/>
    <w:rsid w:val="005F1C9D"/>
    <w:rsid w:val="006004C4"/>
    <w:rsid w:val="006018F5"/>
    <w:rsid w:val="00602596"/>
    <w:rsid w:val="00636C22"/>
    <w:rsid w:val="0065465E"/>
    <w:rsid w:val="0068385B"/>
    <w:rsid w:val="006962AF"/>
    <w:rsid w:val="006A1809"/>
    <w:rsid w:val="006B2981"/>
    <w:rsid w:val="006B3E4F"/>
    <w:rsid w:val="006C0F59"/>
    <w:rsid w:val="006E7FE7"/>
    <w:rsid w:val="00704F09"/>
    <w:rsid w:val="0070541E"/>
    <w:rsid w:val="00720016"/>
    <w:rsid w:val="00726157"/>
    <w:rsid w:val="0073158D"/>
    <w:rsid w:val="0077569A"/>
    <w:rsid w:val="007938A7"/>
    <w:rsid w:val="00796ECF"/>
    <w:rsid w:val="007A501B"/>
    <w:rsid w:val="007A6674"/>
    <w:rsid w:val="007B7BF0"/>
    <w:rsid w:val="007C3CEE"/>
    <w:rsid w:val="007C5EA6"/>
    <w:rsid w:val="007C6B9D"/>
    <w:rsid w:val="007D2D73"/>
    <w:rsid w:val="007D4C21"/>
    <w:rsid w:val="007E008B"/>
    <w:rsid w:val="007E7A19"/>
    <w:rsid w:val="008001A3"/>
    <w:rsid w:val="00850F25"/>
    <w:rsid w:val="00851B11"/>
    <w:rsid w:val="00856E2C"/>
    <w:rsid w:val="00880250"/>
    <w:rsid w:val="00882B8D"/>
    <w:rsid w:val="008C53E1"/>
    <w:rsid w:val="00900E6D"/>
    <w:rsid w:val="00905586"/>
    <w:rsid w:val="00923292"/>
    <w:rsid w:val="009239A8"/>
    <w:rsid w:val="009267CE"/>
    <w:rsid w:val="009358F9"/>
    <w:rsid w:val="0096733D"/>
    <w:rsid w:val="009F6F0F"/>
    <w:rsid w:val="00A05EC8"/>
    <w:rsid w:val="00A41893"/>
    <w:rsid w:val="00A907AE"/>
    <w:rsid w:val="00A954F1"/>
    <w:rsid w:val="00AA5016"/>
    <w:rsid w:val="00AB2E5A"/>
    <w:rsid w:val="00AC3D86"/>
    <w:rsid w:val="00AC7754"/>
    <w:rsid w:val="00AD4A91"/>
    <w:rsid w:val="00AD6433"/>
    <w:rsid w:val="00AF7269"/>
    <w:rsid w:val="00B02746"/>
    <w:rsid w:val="00B10F40"/>
    <w:rsid w:val="00B11A40"/>
    <w:rsid w:val="00B165D1"/>
    <w:rsid w:val="00B17E45"/>
    <w:rsid w:val="00B27B03"/>
    <w:rsid w:val="00B328BA"/>
    <w:rsid w:val="00B432EB"/>
    <w:rsid w:val="00B74DAB"/>
    <w:rsid w:val="00B86E5F"/>
    <w:rsid w:val="00B94FF2"/>
    <w:rsid w:val="00BA5040"/>
    <w:rsid w:val="00BA51ED"/>
    <w:rsid w:val="00BB7213"/>
    <w:rsid w:val="00BF5EE6"/>
    <w:rsid w:val="00C074DB"/>
    <w:rsid w:val="00C10512"/>
    <w:rsid w:val="00C67080"/>
    <w:rsid w:val="00C67868"/>
    <w:rsid w:val="00C81EEB"/>
    <w:rsid w:val="00C84D78"/>
    <w:rsid w:val="00C92080"/>
    <w:rsid w:val="00CB3A99"/>
    <w:rsid w:val="00CC52B8"/>
    <w:rsid w:val="00CE0C1E"/>
    <w:rsid w:val="00CF48B7"/>
    <w:rsid w:val="00D039C1"/>
    <w:rsid w:val="00D21479"/>
    <w:rsid w:val="00D22279"/>
    <w:rsid w:val="00D457C1"/>
    <w:rsid w:val="00D745F7"/>
    <w:rsid w:val="00D77BFB"/>
    <w:rsid w:val="00D92470"/>
    <w:rsid w:val="00DA6969"/>
    <w:rsid w:val="00DB009D"/>
    <w:rsid w:val="00DB138F"/>
    <w:rsid w:val="00DD36F0"/>
    <w:rsid w:val="00DF4D65"/>
    <w:rsid w:val="00DF5C12"/>
    <w:rsid w:val="00E0187F"/>
    <w:rsid w:val="00E03512"/>
    <w:rsid w:val="00E12567"/>
    <w:rsid w:val="00E174AE"/>
    <w:rsid w:val="00E206F0"/>
    <w:rsid w:val="00E20E51"/>
    <w:rsid w:val="00E23288"/>
    <w:rsid w:val="00E26E02"/>
    <w:rsid w:val="00E455DB"/>
    <w:rsid w:val="00E46F0B"/>
    <w:rsid w:val="00E65A14"/>
    <w:rsid w:val="00EA5AD2"/>
    <w:rsid w:val="00EB56D4"/>
    <w:rsid w:val="00ED7D7B"/>
    <w:rsid w:val="00EE084D"/>
    <w:rsid w:val="00EF0EF7"/>
    <w:rsid w:val="00F0654B"/>
    <w:rsid w:val="00F2085D"/>
    <w:rsid w:val="00F27C43"/>
    <w:rsid w:val="00F44EDC"/>
    <w:rsid w:val="00F54B6B"/>
    <w:rsid w:val="00F83D6C"/>
    <w:rsid w:val="00F92573"/>
    <w:rsid w:val="00FA13BC"/>
    <w:rsid w:val="00FA4EB0"/>
    <w:rsid w:val="00FB02CE"/>
    <w:rsid w:val="00FB3390"/>
    <w:rsid w:val="00FC35B8"/>
    <w:rsid w:val="00FC6FE8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7F7F-B1B4-4FCF-BC4C-8A32846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Sansinterligne"/>
    <w:uiPriority w:val="99"/>
    <w:rsid w:val="00C67868"/>
    <w:pPr>
      <w:spacing w:after="200"/>
    </w:pPr>
    <w:rPr>
      <w:rFonts w:ascii="Calibri" w:eastAsia="Times New Roman" w:hAnsi="Calibri" w:cs="Times New Roman"/>
      <w:color w:val="1F497D"/>
      <w:sz w:val="23"/>
      <w:szCs w:val="23"/>
      <w:lang w:eastAsia="fr-FR"/>
    </w:rPr>
  </w:style>
  <w:style w:type="paragraph" w:styleId="Date">
    <w:name w:val="Date"/>
    <w:basedOn w:val="Sansinterligne"/>
    <w:next w:val="Normal"/>
    <w:link w:val="DateCar"/>
    <w:uiPriority w:val="99"/>
    <w:rsid w:val="00C67868"/>
    <w:pPr>
      <w:framePr w:wrap="around" w:hAnchor="page" w:xAlign="center" w:yAlign="top"/>
      <w:contextualSpacing/>
      <w:suppressOverlap/>
      <w:jc w:val="center"/>
    </w:pPr>
    <w:rPr>
      <w:rFonts w:ascii="Calibri" w:eastAsia="Times New Roman" w:hAnsi="Calibri" w:cs="Times New Roman"/>
      <w:b/>
      <w:color w:val="FFFFFF"/>
      <w:sz w:val="23"/>
      <w:szCs w:val="23"/>
      <w:lang w:eastAsia="fr-FR"/>
    </w:rPr>
  </w:style>
  <w:style w:type="character" w:customStyle="1" w:styleId="DateCar">
    <w:name w:val="Date Car"/>
    <w:basedOn w:val="Policepardfaut"/>
    <w:link w:val="Date"/>
    <w:uiPriority w:val="99"/>
    <w:rsid w:val="00C67868"/>
    <w:rPr>
      <w:rFonts w:ascii="Calibri" w:eastAsia="Times New Roman" w:hAnsi="Calibri" w:cs="Times New Roman"/>
      <w:b/>
      <w:color w:val="FFFFFF"/>
      <w:sz w:val="23"/>
      <w:szCs w:val="23"/>
      <w:lang w:eastAsia="fr-FR"/>
    </w:rPr>
  </w:style>
  <w:style w:type="paragraph" w:customStyle="1" w:styleId="Nomdelasocit">
    <w:name w:val="Nom de la société"/>
    <w:basedOn w:val="Normal"/>
    <w:uiPriority w:val="99"/>
    <w:rsid w:val="00C67868"/>
    <w:pPr>
      <w:spacing w:after="0" w:line="264" w:lineRule="auto"/>
    </w:pPr>
    <w:rPr>
      <w:rFonts w:ascii="Calibri" w:eastAsia="Times New Roman" w:hAnsi="Calibri" w:cs="Times New Roman"/>
      <w:b/>
      <w:color w:val="1F497D"/>
      <w:sz w:val="28"/>
      <w:szCs w:val="28"/>
      <w:lang w:eastAsia="fr-FR"/>
    </w:rPr>
  </w:style>
  <w:style w:type="paragraph" w:styleId="Sansinterligne">
    <w:name w:val="No Spacing"/>
    <w:uiPriority w:val="1"/>
    <w:qFormat/>
    <w:rsid w:val="00C678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82F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DD36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D36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D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DD3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DD36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DD36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0F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0F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0F25"/>
    <w:rPr>
      <w:vertAlign w:val="superscript"/>
    </w:rPr>
  </w:style>
  <w:style w:type="paragraph" w:customStyle="1" w:styleId="Default">
    <w:name w:val="Default"/>
    <w:rsid w:val="002B1610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59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2189"/>
  </w:style>
  <w:style w:type="paragraph" w:styleId="Pieddepage">
    <w:name w:val="footer"/>
    <w:basedOn w:val="Normal"/>
    <w:link w:val="PieddepageCar"/>
    <w:uiPriority w:val="99"/>
    <w:unhideWhenUsed/>
    <w:rsid w:val="0059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co\Documents\Circo%20BGD\Favorites\Desktop\MODELE%20VIER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C98F-671F-4A53-8658-5692DC56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VIERGE.dotx</Template>
  <TotalTime>0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Jean-Yves PELLETIER</cp:lastModifiedBy>
  <cp:revision>2</cp:revision>
  <dcterms:created xsi:type="dcterms:W3CDTF">2020-05-07T10:05:00Z</dcterms:created>
  <dcterms:modified xsi:type="dcterms:W3CDTF">2020-05-07T10:05:00Z</dcterms:modified>
</cp:coreProperties>
</file>